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sz w:val="44"/>
          <w:szCs w:val="44"/>
          <w:lang w:val="en-US" w:eastAsia="zh-CN"/>
        </w:rPr>
      </w:pPr>
      <w:r>
        <w:rPr>
          <w:rFonts w:hint="eastAsia"/>
          <w:sz w:val="44"/>
          <w:szCs w:val="44"/>
        </w:rPr>
        <w:t>咸宁市</w:t>
      </w:r>
      <w:r>
        <w:rPr>
          <w:rFonts w:hint="eastAsia"/>
          <w:sz w:val="44"/>
          <w:szCs w:val="44"/>
          <w:lang w:eastAsia="zh-CN"/>
        </w:rPr>
        <w:t>水利和湖泊局</w:t>
      </w:r>
    </w:p>
    <w:p>
      <w:pPr>
        <w:pStyle w:val="3"/>
        <w:bidi w:val="0"/>
        <w:jc w:val="center"/>
        <w:rPr>
          <w:rFonts w:hint="eastAsia"/>
          <w:sz w:val="44"/>
          <w:szCs w:val="44"/>
        </w:rPr>
      </w:pPr>
      <w:r>
        <w:rPr>
          <w:rFonts w:hint="eastAsia"/>
          <w:sz w:val="44"/>
          <w:szCs w:val="44"/>
        </w:rPr>
        <w:t>20</w:t>
      </w:r>
      <w:r>
        <w:rPr>
          <w:rFonts w:hint="eastAsia"/>
          <w:sz w:val="44"/>
          <w:szCs w:val="44"/>
          <w:lang w:val="en-US" w:eastAsia="zh-CN"/>
        </w:rPr>
        <w:t>22</w:t>
      </w:r>
      <w:r>
        <w:rPr>
          <w:rFonts w:hint="eastAsia"/>
          <w:sz w:val="44"/>
          <w:szCs w:val="44"/>
        </w:rPr>
        <w:t>年部门预算公开说明</w:t>
      </w:r>
    </w:p>
    <w:p>
      <w:pPr>
        <w:keepNext w:val="0"/>
        <w:keepLines w:val="0"/>
        <w:widowControl/>
        <w:suppressLineNumbers w:val="0"/>
        <w:jc w:val="center"/>
      </w:pPr>
      <w:r>
        <w:rPr>
          <w:rFonts w:ascii="黑体" w:hAnsi="宋体" w:eastAsia="黑体" w:cs="黑体"/>
          <w:color w:val="333333"/>
          <w:kern w:val="0"/>
          <w:sz w:val="28"/>
          <w:szCs w:val="28"/>
          <w:lang w:val="en-US" w:eastAsia="zh-CN" w:bidi="ar"/>
        </w:rPr>
        <w:t xml:space="preserve">目 </w:t>
      </w:r>
      <w:r>
        <w:rPr>
          <w:rFonts w:hint="eastAsia" w:ascii="黑体" w:hAnsi="宋体" w:eastAsia="黑体" w:cs="黑体"/>
          <w:color w:val="333333"/>
          <w:kern w:val="0"/>
          <w:sz w:val="28"/>
          <w:szCs w:val="28"/>
          <w:lang w:val="en-US" w:eastAsia="zh-CN" w:bidi="ar"/>
        </w:rPr>
        <w:t xml:space="preserve">  </w:t>
      </w:r>
      <w:r>
        <w:rPr>
          <w:rFonts w:ascii="黑体" w:hAnsi="宋体" w:eastAsia="黑体" w:cs="黑体"/>
          <w:color w:val="333333"/>
          <w:kern w:val="0"/>
          <w:sz w:val="28"/>
          <w:szCs w:val="28"/>
          <w:lang w:val="en-US" w:eastAsia="zh-CN" w:bidi="ar"/>
        </w:rPr>
        <w:t>录</w:t>
      </w:r>
    </w:p>
    <w:p>
      <w:pPr>
        <w:keepNext w:val="0"/>
        <w:keepLines w:val="0"/>
        <w:widowControl/>
        <w:suppressLineNumbers w:val="0"/>
        <w:jc w:val="left"/>
      </w:pPr>
      <w:r>
        <w:rPr>
          <w:rFonts w:ascii="楷体_GB2312" w:hAnsi="宋体" w:eastAsia="楷体_GB2312" w:cs="楷体_GB2312"/>
          <w:color w:val="333333"/>
          <w:kern w:val="0"/>
          <w:sz w:val="28"/>
          <w:szCs w:val="28"/>
          <w:lang w:val="en-US" w:eastAsia="zh-CN" w:bidi="ar"/>
        </w:rPr>
        <w:t>第一部分 市</w:t>
      </w:r>
      <w:r>
        <w:rPr>
          <w:rFonts w:hint="eastAsia" w:ascii="楷体_GB2312" w:hAnsi="宋体" w:eastAsia="楷体_GB2312" w:cs="楷体_GB2312"/>
          <w:color w:val="333333"/>
          <w:kern w:val="0"/>
          <w:sz w:val="28"/>
          <w:szCs w:val="28"/>
          <w:lang w:val="en-US" w:eastAsia="zh-CN" w:bidi="ar"/>
        </w:rPr>
        <w:t>水利和湖泊局</w:t>
      </w:r>
      <w:r>
        <w:rPr>
          <w:rFonts w:ascii="楷体_GB2312" w:hAnsi="宋体" w:eastAsia="楷体_GB2312" w:cs="楷体_GB2312"/>
          <w:color w:val="333333"/>
          <w:kern w:val="0"/>
          <w:sz w:val="28"/>
          <w:szCs w:val="28"/>
          <w:lang w:val="en-US" w:eastAsia="zh-CN" w:bidi="ar"/>
        </w:rPr>
        <w:t xml:space="preserve">主要职责及机构设置 </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第二部分 市水利和湖泊局 2022 年主要工作任务 </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第三部分 市水利和湖泊局 2022年部门预算表 </w:t>
      </w:r>
    </w:p>
    <w:p>
      <w:pPr>
        <w:keepNext w:val="0"/>
        <w:keepLines w:val="0"/>
        <w:widowControl/>
        <w:suppressLineNumbers w:val="0"/>
        <w:jc w:val="left"/>
      </w:pPr>
      <w:r>
        <w:rPr>
          <w:rFonts w:ascii="仿宋_GB2312" w:hAnsi="宋体" w:eastAsia="仿宋_GB2312" w:cs="仿宋_GB2312"/>
          <w:color w:val="333333"/>
          <w:kern w:val="0"/>
          <w:sz w:val="28"/>
          <w:szCs w:val="28"/>
          <w:lang w:val="en-US" w:eastAsia="zh-CN" w:bidi="ar"/>
        </w:rPr>
        <w:t xml:space="preserve">（一）部门收支总表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（二）部门收入总表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（三）部门支出总表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（四）财政拨款收支总表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（五）一般公共预算支出表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（六）一般公共预算基本支出表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（七）一般公共预算“三公”经费支出表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（八）政府性基金预算支出表 </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第四部分 2022年部门预算编制情况及说明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（一）预算收支安排及增减变化情况说明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（二）机关运行经费安排及增减变化情况说明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（三）“三公”经费安排及增减变化情况说明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（四）政府采购预算安排及增减变化情况说明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（五）国有资产占用及增减变化情况说明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（六）政府性基金预算支出情况说明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（七）2022 年部门预算绩效情况说明 </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第五部分 名词解释 </w:t>
      </w:r>
    </w:p>
    <w:p>
      <w:pPr>
        <w:keepNext w:val="0"/>
        <w:keepLines w:val="0"/>
        <w:widowControl/>
        <w:suppressLineNumbers w:val="0"/>
        <w:jc w:val="left"/>
        <w:rPr>
          <w:rFonts w:hint="eastAsia" w:ascii="楷体" w:hAnsi="Calibri" w:eastAsia="楷体" w:cs="Times New Roman"/>
          <w:b w:val="0"/>
          <w:bCs/>
          <w:snapToGrid w:val="0"/>
          <w:color w:val="auto"/>
          <w:kern w:val="0"/>
          <w:sz w:val="32"/>
          <w:szCs w:val="32"/>
          <w:lang w:val="en-US" w:eastAsia="zh-CN" w:bidi="ar-SA"/>
        </w:rPr>
      </w:pPr>
      <w:r>
        <w:rPr>
          <w:rFonts w:hint="eastAsia" w:ascii="楷体" w:hAnsi="Calibri" w:eastAsia="楷体" w:cs="Times New Roman"/>
          <w:b w:val="0"/>
          <w:bCs/>
          <w:snapToGrid w:val="0"/>
          <w:color w:val="auto"/>
          <w:kern w:val="0"/>
          <w:sz w:val="32"/>
          <w:szCs w:val="32"/>
          <w:lang w:val="en-US" w:eastAsia="zh-CN" w:bidi="ar-SA"/>
        </w:rPr>
        <w:t xml:space="preserve">第一部分 市水利和湖泊局主要职责及机构设置 </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根据咸宁市财政局要求以及2022年部门预算收支数据，公开《2022年部门收支预算总表》、《2022部门支出预算表》、《2022年部门基本保障支出预算表》和《2022年部门“三公”经费预算表》。本着真实性、合法性和完整性的原则，我局2022年部门预算具体情况说明如下：</w:t>
      </w:r>
    </w:p>
    <w:p>
      <w:pPr>
        <w:pStyle w:val="3"/>
        <w:bidi w:val="0"/>
        <w:ind w:left="0" w:leftChars="0" w:firstLine="643" w:firstLineChars="200"/>
        <w:rPr>
          <w:rFonts w:hint="eastAsia" w:ascii="仿宋_GB2312" w:hAnsi="Calibri" w:eastAsia="仿宋_GB2312" w:cs="Times New Roman"/>
          <w:b/>
          <w:bCs/>
          <w:color w:val="auto"/>
          <w:kern w:val="2"/>
          <w:sz w:val="32"/>
          <w:szCs w:val="32"/>
          <w:lang w:val="en-US" w:eastAsia="zh-CN" w:bidi="ar-SA"/>
        </w:rPr>
      </w:pPr>
      <w:r>
        <w:rPr>
          <w:rFonts w:hint="eastAsia" w:ascii="仿宋_GB2312" w:hAnsi="Calibri" w:eastAsia="仿宋_GB2312" w:cs="Times New Roman"/>
          <w:b/>
          <w:bCs/>
          <w:color w:val="auto"/>
          <w:kern w:val="2"/>
          <w:sz w:val="32"/>
          <w:szCs w:val="32"/>
          <w:lang w:val="en-US" w:eastAsia="zh-CN" w:bidi="ar-SA"/>
        </w:rPr>
        <w:t>一、市水利和湖泊局主要职责</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省委办公厅、省政府办公厅关于印发〈咸宁市机构改革方案〉的通知》和《中共咸宁市委、咸宁市人民政府关于咸宁市市级机构改革的实施意见》，市水利和湖泊局是市政府工作部门，对外加挂市河湖长制办公室牌子。主要职能为：</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1.指导水资源的合理开发利用。起草有关地方性水利政策规章草案。组织编制全市水资源战略规划、重要江河湖泊流域综合规划、防洪规划等重大水利规划。</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指导生活、生产经营和生态环境用水的统筹和保障。组织实施最严格水资源管理制度，实施水资源的统一监督管理。拟订全市和跨区域水中长期供求规划、水量分配方案并监督实施。负责重要流域、区域以及重大调水工程的水资源调度。组织实施取水许可、水资源论证和防洪论证制度。指导开展水资源有偿使用工作。指导水利行业供水和乡镇供水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按照规定权限，落实水利工程建设的有关制度。审批规划内和年度计划规模内水利投资项目并监督管理项目实施。提出本级水利资金安排建议并负责项目实施的监督管理。拟订全市水利综合发展规划、专业规划，指导县市区水利规划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指导水资源保护工作。组织编制并实施水资源保护规划。指导饮用水水源保护有关工作，指导地下水开发利用和地下水资源管理保护。组织指导地下水超采区综合治理。按规定组织开展水资源、水能资源调查评价和水资源承载能力监测预警工作。组织编制并发布全市水资源公报。</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5.负责节约用水工作。组织编制节约用水规划并监督实施，指导和推动节水型社会建设工作。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指导水利设施、水域及其岸线的管理、保护与综合利用。组织指导水利基础设施网络建设。指导江河湖库的治理、开发和保护。指导河湖水生态保护与修复、河湖生态流量水量管理以及河湖水系连通工作。指导全面推行河湖长制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指导监督水利工程建设与运行管理。履行本行业（领域）安全生产监督管理职责和质量监督工作，指导落实水利行业的技术标准、规程规范。指导水库、农村水电站的安全监管。指导水利建设市场和水利工程建设的监督管理。</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8.指导水土保持工作。拟订水土保持规划并监督实施，指导实施水土流失的综合防治、监测预报，组织编制水土保持公告。按规定监督管理建设项目水土保持工作。指导水土保持建设项目的实施。</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指导农村水利工作。指导大中型灌排工程建设与改造。指导农村饮水安全工程建设与管理工作，指导节水灌溉有关工作。指导农村水利改革创新和社会化服务体系建设。指导农村水能资源开发、小水电改造和水电农村电气化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10.指导水利工程移民管理工作。监督落实国家和省关于水利工程移民的有关政策措施，指导实施有关水利工程移民安置的验收、监督评估等制度。指导监督有关水利工程移民后期扶持工作。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11.指导水政监察和水行政执法。指导水事违法事件的查处，组织开展重大水事违法事件的查处，协调和仲裁跨县（市、区）水事纠纷。</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12.开展水利科技、信息化和对外交流合作工作。组织编制水利信息化发展规划并组织实施。组织开展水利行业对外交流合作工作。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负责落实综合防灾减灾规划相关要求，组织编制洪水干旱灾害防治规划和防护标准并指导实施。组织编制重要江河湖库和重要水工程的防御洪水抗御旱灾调度及应急水量调度方案，按程序报批并组织实施。承担防御极端天气期间重要水工程调度工作。承担防御洪水应急抢险的技术支撑工作。</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14.完成上级交办的其他任务。</w:t>
      </w:r>
    </w:p>
    <w:p>
      <w:pPr>
        <w:pStyle w:val="3"/>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职能转变。市水利和湖泊局要切实加强水资源合理利用、优化配置和节约保护。坚持节水优先，从增加供给转向更加重视需求管理，严格控制用水总量和提高用水效率。坚持保护优先，加强水资源、水域和水利工程的管理保护，维护河湖健康美丽。坚持统筹兼顾，保障合理用水需求和水资源的可持续利用，为经济社会发展提供水安全保障。</w:t>
      </w:r>
    </w:p>
    <w:p>
      <w:pPr>
        <w:pStyle w:val="3"/>
        <w:bidi w:val="0"/>
        <w:rPr>
          <w:rFonts w:hint="eastAsia" w:ascii="仿宋_GB2312" w:hAnsi="Calibri" w:eastAsia="仿宋_GB2312" w:cs="Times New Roman"/>
          <w:b/>
          <w:bCs/>
          <w:color w:val="auto"/>
          <w:kern w:val="2"/>
          <w:sz w:val="32"/>
          <w:szCs w:val="32"/>
          <w:lang w:val="en-US" w:eastAsia="zh-CN" w:bidi="ar-SA"/>
        </w:rPr>
      </w:pPr>
      <w:r>
        <w:rPr>
          <w:rFonts w:hint="eastAsia" w:ascii="仿宋_GB2312" w:hAnsi="Calibri" w:eastAsia="仿宋_GB2312" w:cs="Times New Roman"/>
          <w:b/>
          <w:bCs/>
          <w:color w:val="auto"/>
          <w:kern w:val="2"/>
          <w:sz w:val="32"/>
          <w:szCs w:val="32"/>
          <w:lang w:val="en-US" w:eastAsia="zh-CN" w:bidi="ar-SA"/>
        </w:rPr>
        <w:t>二、部门决算单位构成</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从预算单位构成看，市水利和湖泊局设9个内设机构,分别为办公室、规划计划和政策法规科（行政审批办公室）、河湖长制工作科（水资源科）、建设管理和安全监督科、河道堤防和湖泊科、水库农电和移民科、农村水利水土保持科、水旱灾害防御科、人事科（离退休干部科）。市水利和湖泊局行政编制32人，市农村饮水安全办公室全额拨款事业编制5人，市防汛抗旱服务中心全额拨款事业编制20人，截止2021年12月，实有人数49人，其中：在职在编49人，</w:t>
      </w:r>
      <w:r>
        <w:rPr>
          <w:rFonts w:hint="eastAsia" w:ascii="仿宋_GB2312" w:hAnsi="Calibri" w:eastAsia="仿宋_GB2312" w:cs="Times New Roman"/>
          <w:color w:val="000000"/>
          <w:kern w:val="2"/>
          <w:sz w:val="32"/>
          <w:szCs w:val="32"/>
          <w:lang w:val="en-US" w:eastAsia="zh-CN" w:bidi="ar-SA"/>
        </w:rPr>
        <w:t>以钱养事1人</w:t>
      </w:r>
      <w:r>
        <w:rPr>
          <w:rFonts w:hint="eastAsia" w:ascii="仿宋_GB2312" w:hAnsi="Calibri" w:eastAsia="仿宋_GB2312" w:cs="Times New Roman"/>
          <w:color w:val="auto"/>
          <w:kern w:val="2"/>
          <w:sz w:val="32"/>
          <w:szCs w:val="32"/>
          <w:lang w:val="en-US" w:eastAsia="zh-CN" w:bidi="ar-SA"/>
        </w:rPr>
        <w:t>，另有离休1人，退休人员49人，另外负担遗属人员3人。本单位是市直一级预算单位，下属单位有两个财政预算单位，分别是咸宁市河道堤防管理局和咸宁市水政监察支队，两个下属单位单独公开。</w:t>
      </w:r>
    </w:p>
    <w:p>
      <w:pPr>
        <w:keepNext w:val="0"/>
        <w:keepLines w:val="0"/>
        <w:widowControl/>
        <w:suppressLineNumbers w:val="0"/>
        <w:jc w:val="left"/>
        <w:rPr>
          <w:rFonts w:hint="eastAsia" w:ascii="楷体" w:hAnsi="Calibri" w:eastAsia="楷体" w:cs="Times New Roman"/>
          <w:b w:val="0"/>
          <w:bCs/>
          <w:snapToGrid w:val="0"/>
          <w:color w:val="auto"/>
          <w:kern w:val="0"/>
          <w:sz w:val="32"/>
          <w:szCs w:val="32"/>
          <w:lang w:val="en-US" w:eastAsia="zh-CN" w:bidi="ar-SA"/>
        </w:rPr>
      </w:pPr>
      <w:r>
        <w:rPr>
          <w:rFonts w:hint="eastAsia" w:ascii="楷体" w:hAnsi="Calibri" w:eastAsia="楷体" w:cs="Times New Roman"/>
          <w:b w:val="0"/>
          <w:bCs/>
          <w:snapToGrid w:val="0"/>
          <w:color w:val="auto"/>
          <w:kern w:val="0"/>
          <w:sz w:val="32"/>
          <w:szCs w:val="32"/>
          <w:lang w:val="en-US" w:eastAsia="zh-CN" w:bidi="ar-SA"/>
        </w:rPr>
        <w:t>第二部分 年度主要工作任务及目标</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一、做好疫情常态化防控。</w:t>
      </w:r>
    </w:p>
    <w:p>
      <w:pPr>
        <w:pStyle w:val="3"/>
        <w:bidi w:val="0"/>
        <w:ind w:left="0" w:leftChars="0" w:firstLine="420" w:firstLineChars="200"/>
        <w:rPr>
          <w:rFonts w:hint="eastAsia" w:ascii="仿宋_GB2312" w:hAnsi="Calibri" w:eastAsia="仿宋_GB2312" w:cs="Times New Roman"/>
          <w:color w:val="auto"/>
          <w:kern w:val="2"/>
          <w:sz w:val="32"/>
          <w:szCs w:val="32"/>
          <w:lang w:val="en-US" w:eastAsia="zh-CN" w:bidi="ar-SA"/>
        </w:rPr>
      </w:pPr>
      <w:r>
        <w:rPr>
          <w:rFonts w:hint="eastAsia"/>
          <w:lang w:val="en-US" w:eastAsia="zh-CN"/>
        </w:rPr>
        <w:t xml:space="preserve">  </w:t>
      </w:r>
      <w:r>
        <w:rPr>
          <w:rFonts w:hint="eastAsia" w:ascii="仿宋_GB2312" w:hAnsi="Calibri" w:eastAsia="仿宋_GB2312" w:cs="Times New Roman"/>
          <w:color w:val="auto"/>
          <w:kern w:val="2"/>
          <w:sz w:val="32"/>
          <w:szCs w:val="32"/>
          <w:lang w:val="en-US" w:eastAsia="zh-CN" w:bidi="ar-SA"/>
        </w:rPr>
        <w:t>二、全面加强党的建设。</w:t>
      </w:r>
    </w:p>
    <w:p>
      <w:pPr>
        <w:pStyle w:val="3"/>
        <w:bidi w:val="0"/>
        <w:ind w:left="0" w:leftChars="0" w:firstLine="640" w:firstLineChars="200"/>
        <w:rPr>
          <w:rFonts w:hint="default"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三、积极推进水利工程建设。</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四、做实河湖长制工作。</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五、做好水旱灾害防御。</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六、强化水资源刚性约束。</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七、统筹抓好乡村振兴和水库移民工作。</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八、加强水利工程建设管理。</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九、持续深化水利体制机制改革。</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十、切实提高依法行政能力。</w:t>
      </w:r>
    </w:p>
    <w:p>
      <w:pPr>
        <w:pStyle w:val="3"/>
        <w:bidi w:val="0"/>
        <w:ind w:left="0" w:leftChars="0"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十一、进一步强化机关综合管理。</w:t>
      </w:r>
    </w:p>
    <w:p>
      <w:pPr>
        <w:keepNext w:val="0"/>
        <w:keepLines w:val="0"/>
        <w:pageBreakBefore w:val="0"/>
        <w:widowControl w:val="0"/>
        <w:kinsoku/>
        <w:wordWrap/>
        <w:overflowPunct/>
        <w:topLinePunct w:val="0"/>
        <w:autoSpaceDE/>
        <w:autoSpaceDN w:val="0"/>
        <w:bidi w:val="0"/>
        <w:adjustRightInd/>
        <w:spacing w:line="560" w:lineRule="exact"/>
        <w:jc w:val="left"/>
        <w:textAlignment w:val="auto"/>
        <w:outlineLvl w:val="9"/>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 xml:space="preserve">第三部分 市水利和湖泊局 2021 年部门预算表 </w:t>
      </w:r>
    </w:p>
    <w:p>
      <w:pPr>
        <w:rPr>
          <w:rFonts w:hint="eastAsia"/>
        </w:rPr>
      </w:pPr>
    </w:p>
    <w:tbl>
      <w:tblPr>
        <w:tblStyle w:val="7"/>
        <w:tblW w:w="99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6"/>
        <w:gridCol w:w="1350"/>
        <w:gridCol w:w="3480"/>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90"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13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48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41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部门收支预算总表</w:t>
            </w:r>
            <w:r>
              <w:rPr>
                <w:rFonts w:hint="eastAsia" w:ascii="宋体" w:hAnsi="宋体" w:cs="宋体"/>
                <w:b/>
                <w:bCs/>
                <w:i w:val="0"/>
                <w:iCs w:val="0"/>
                <w:color w:val="000000"/>
                <w:kern w:val="0"/>
                <w:sz w:val="44"/>
                <w:szCs w:val="44"/>
                <w:u w:val="none"/>
                <w:lang w:val="en-US" w:eastAsia="zh-CN" w:bidi="ar"/>
              </w:rPr>
              <w:t>（汇总）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项目（按经济分类）</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一、基本保障支出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本级一般公共预算拨款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人员经费支出</w:t>
            </w:r>
          </w:p>
        </w:tc>
        <w:tc>
          <w:tcPr>
            <w:tcW w:w="141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2195.74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经费拨款（补助）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2481.56</w:t>
            </w: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标准公用经费支出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纳入预算管理的非税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157.00</w:t>
            </w: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141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经常性项目</w:t>
            </w:r>
          </w:p>
        </w:tc>
        <w:tc>
          <w:tcPr>
            <w:tcW w:w="14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当年一次性项目</w:t>
            </w:r>
          </w:p>
        </w:tc>
        <w:tc>
          <w:tcPr>
            <w:tcW w:w="141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跨年一次性项目</w:t>
            </w:r>
          </w:p>
        </w:tc>
        <w:tc>
          <w:tcPr>
            <w:tcW w:w="141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三、项目支出不可预见费</w:t>
            </w:r>
          </w:p>
        </w:tc>
        <w:tc>
          <w:tcPr>
            <w:tcW w:w="141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上级基金</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四、事业单位经营支出</w:t>
            </w:r>
          </w:p>
        </w:tc>
        <w:tc>
          <w:tcPr>
            <w:tcW w:w="141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专项债券</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141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三、社保基金拨款</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553.60</w:t>
            </w:r>
          </w:p>
        </w:tc>
        <w:tc>
          <w:tcPr>
            <w:tcW w:w="0" w:type="auto"/>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六、上缴上级支出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四、国有资本经营预算拨款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五、纳入专户管理的非税收入</w:t>
            </w:r>
          </w:p>
        </w:tc>
        <w:tc>
          <w:tcPr>
            <w:tcW w:w="1350"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六、事业收入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七、事业单位经营收入</w:t>
            </w:r>
          </w:p>
        </w:tc>
        <w:tc>
          <w:tcPr>
            <w:tcW w:w="1350"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八、附属单位上缴收入</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九、往来收入</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十、其他收入</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十一、融资借款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50"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八、上年结余（转）</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结转下年</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公共预算结转</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政府基金结转</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其他结余</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50"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备注：本表收支包含社保基金发放退休人员的退休金</w:t>
            </w: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r>
    </w:tbl>
    <w:p>
      <w:pPr>
        <w:pStyle w:val="2"/>
        <w:ind w:left="0" w:leftChars="0" w:firstLine="0" w:firstLineChars="0"/>
        <w:rPr>
          <w:rFonts w:hint="eastAsia"/>
        </w:rPr>
      </w:pPr>
    </w:p>
    <w:p>
      <w:pPr>
        <w:rPr>
          <w:rFonts w:hint="eastAsia"/>
        </w:rPr>
      </w:pPr>
    </w:p>
    <w:p>
      <w:pPr>
        <w:pStyle w:val="2"/>
        <w:ind w:left="0" w:leftChars="0" w:firstLine="0" w:firstLineChars="0"/>
        <w:rPr>
          <w:rFonts w:hint="eastAsia"/>
        </w:rPr>
      </w:pPr>
    </w:p>
    <w:tbl>
      <w:tblPr>
        <w:tblStyle w:val="7"/>
        <w:tblW w:w="110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16"/>
        <w:gridCol w:w="1500"/>
        <w:gridCol w:w="3336"/>
        <w:gridCol w:w="14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16"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150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33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434"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1086"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部门收支预算总表</w:t>
            </w:r>
            <w:r>
              <w:rPr>
                <w:rFonts w:hint="eastAsia" w:ascii="宋体" w:hAnsi="宋体" w:cs="宋体"/>
                <w:b/>
                <w:bCs/>
                <w:i w:val="0"/>
                <w:iCs w:val="0"/>
                <w:color w:val="000000"/>
                <w:kern w:val="0"/>
                <w:sz w:val="44"/>
                <w:szCs w:val="44"/>
                <w:u w:val="none"/>
                <w:lang w:val="en-US" w:eastAsia="zh-CN" w:bidi="ar"/>
              </w:rPr>
              <w:t>（本级）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1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50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33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434"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项目（按经济分类）</w:t>
            </w:r>
          </w:p>
        </w:tc>
        <w:tc>
          <w:tcPr>
            <w:tcW w:w="143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c>
          <w:tcPr>
            <w:tcW w:w="3336" w:type="dxa"/>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一、基本保障支出</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本级一般公共预算拨款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c>
          <w:tcPr>
            <w:tcW w:w="3336" w:type="dxa"/>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人员经费支出</w:t>
            </w:r>
          </w:p>
        </w:tc>
        <w:tc>
          <w:tcPr>
            <w:tcW w:w="143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经费拨款（补助）</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1661.63</w:t>
            </w:r>
          </w:p>
        </w:tc>
        <w:tc>
          <w:tcPr>
            <w:tcW w:w="3336" w:type="dxa"/>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标准公用经费支出</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纳入预算管理的非税</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3336" w:type="dxa"/>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143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经常性项目</w:t>
            </w:r>
          </w:p>
        </w:tc>
        <w:tc>
          <w:tcPr>
            <w:tcW w:w="143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一般债券</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333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当年一次性项目</w:t>
            </w:r>
          </w:p>
        </w:tc>
        <w:tc>
          <w:tcPr>
            <w:tcW w:w="1434"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二、政府性基金拨款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跨年一次性项目</w:t>
            </w:r>
          </w:p>
        </w:tc>
        <w:tc>
          <w:tcPr>
            <w:tcW w:w="1434"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本级基金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三、项目支出不可预见费</w:t>
            </w:r>
          </w:p>
        </w:tc>
        <w:tc>
          <w:tcPr>
            <w:tcW w:w="1434"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上级基金</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四、事业单位经营支出</w:t>
            </w:r>
          </w:p>
        </w:tc>
        <w:tc>
          <w:tcPr>
            <w:tcW w:w="1434"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专项债券</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1434"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三、社保基金拨款</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340.75</w:t>
            </w:r>
          </w:p>
        </w:tc>
        <w:tc>
          <w:tcPr>
            <w:tcW w:w="3336"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六、上缴上级支出</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四、国有资本经营预算拨款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五、纳入专户管理的非税收入</w:t>
            </w:r>
          </w:p>
        </w:tc>
        <w:tc>
          <w:tcPr>
            <w:tcW w:w="1500"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六、事业收入</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七、事业单位经营收入</w:t>
            </w:r>
          </w:p>
        </w:tc>
        <w:tc>
          <w:tcPr>
            <w:tcW w:w="1500"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八、附属单位上缴收入</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九、往来收入</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十、其他收入</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十一、融资借款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2092.38</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八、上年结余（转）</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结转下年</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公共预算结转</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政府基金结转</w:t>
            </w:r>
          </w:p>
        </w:tc>
        <w:tc>
          <w:tcPr>
            <w:tcW w:w="1500" w:type="dxa"/>
            <w:tcBorders>
              <w:top w:val="single" w:color="000000" w:sz="4" w:space="0"/>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其他结余</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2092.38</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16"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备注：本表收支包含社保基金发放退休人员的退休金</w:t>
            </w:r>
          </w:p>
        </w:tc>
        <w:tc>
          <w:tcPr>
            <w:tcW w:w="150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33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143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773"/>
        <w:gridCol w:w="926"/>
        <w:gridCol w:w="442"/>
        <w:gridCol w:w="558"/>
        <w:gridCol w:w="433"/>
        <w:gridCol w:w="467"/>
        <w:gridCol w:w="1042"/>
        <w:gridCol w:w="1054"/>
        <w:gridCol w:w="771"/>
        <w:gridCol w:w="350"/>
        <w:gridCol w:w="366"/>
        <w:gridCol w:w="367"/>
        <w:gridCol w:w="450"/>
        <w:gridCol w:w="367"/>
        <w:gridCol w:w="400"/>
        <w:gridCol w:w="845"/>
        <w:gridCol w:w="384"/>
        <w:gridCol w:w="384"/>
        <w:gridCol w:w="384"/>
        <w:gridCol w:w="385"/>
        <w:gridCol w:w="385"/>
        <w:gridCol w:w="385"/>
        <w:gridCol w:w="385"/>
        <w:gridCol w:w="10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20"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773"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2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42"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58"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3"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42"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5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71"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0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8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jc w:val="right"/>
              <w:rPr>
                <w:rFonts w:hint="eastAsia" w:ascii="宋体" w:hAnsi="宋体" w:eastAsia="宋体" w:cs="宋体"/>
                <w:i w:val="0"/>
                <w:iCs w:val="0"/>
                <w:color w:val="000000"/>
                <w:sz w:val="18"/>
                <w:szCs w:val="18"/>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58"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2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73"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2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42"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58"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3"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42"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5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71"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0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8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58"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081" w:type="dxa"/>
            <w:gridSpan w:val="2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部门收入预算总表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2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73"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2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42"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58"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3"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42"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5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71"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0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8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4"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jc w:val="right"/>
              <w:rPr>
                <w:rFonts w:hint="eastAsia" w:ascii="宋体" w:hAnsi="宋体" w:eastAsia="宋体" w:cs="宋体"/>
                <w:i w:val="0"/>
                <w:iCs w:val="0"/>
                <w:color w:val="000000"/>
                <w:sz w:val="18"/>
                <w:szCs w:val="18"/>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58"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773"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9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上年结余（转）</w:t>
            </w:r>
          </w:p>
        </w:tc>
        <w:tc>
          <w:tcPr>
            <w:tcW w:w="358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w:t>
            </w:r>
          </w:p>
        </w:tc>
        <w:tc>
          <w:tcPr>
            <w:tcW w:w="1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w:t>
            </w:r>
          </w:p>
        </w:tc>
        <w:tc>
          <w:tcPr>
            <w:tcW w:w="84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社保基金</w:t>
            </w:r>
          </w:p>
        </w:tc>
        <w:tc>
          <w:tcPr>
            <w:tcW w:w="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w:t>
            </w:r>
          </w:p>
        </w:tc>
        <w:tc>
          <w:tcPr>
            <w:tcW w:w="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纳入专户管理的非税</w:t>
            </w:r>
          </w:p>
        </w:tc>
        <w:tc>
          <w:tcPr>
            <w:tcW w:w="384" w:type="dxa"/>
            <w:vMerge w:val="restart"/>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38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事业单位经营收入</w:t>
            </w:r>
          </w:p>
        </w:tc>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往来收入</w:t>
            </w:r>
          </w:p>
        </w:tc>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融资借款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72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73"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公共预算结转</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政府性基金结转</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其他结余</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经费拨款（补助）</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纳入预算管理的非税</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w:t>
            </w: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一般债券</w:t>
            </w: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本级基金</w:t>
            </w: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上级基金</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专项债券</w:t>
            </w:r>
          </w:p>
        </w:tc>
        <w:tc>
          <w:tcPr>
            <w:tcW w:w="845"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4" w:type="dxa"/>
            <w:vMerge w:val="continue"/>
            <w:tcBorders>
              <w:top w:val="single" w:color="000000" w:sz="4" w:space="0"/>
              <w:left w:val="nil"/>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5"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7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26"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4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8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8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8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3192.16</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2638.56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2481.56</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157.00</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553.60</w:t>
            </w: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223</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咸宁市水利和湖泊局</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3192.16</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2638.56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2481.56</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157.00</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553.60</w:t>
            </w: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223001</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咸宁市水利和湖泊局本级</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2092.38</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1751.63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1661.63</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340.75</w:t>
            </w: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223002</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咸宁市河道堤防管理局</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855.91</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692.70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665.70</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27.00</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163.21</w:t>
            </w: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223003</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咸宁市水政监察支队</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243.87</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194.23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154.23</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49.64</w:t>
            </w: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73"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926"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4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558"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433"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467"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104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105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771"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5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6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67"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67"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40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84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38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18"/>
                <w:szCs w:val="18"/>
                <w:u w:val="none"/>
              </w:rPr>
            </w:pPr>
          </w:p>
        </w:tc>
        <w:tc>
          <w:tcPr>
            <w:tcW w:w="1058"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7"/>
        <w:tblW w:w="138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872"/>
        <w:gridCol w:w="880"/>
        <w:gridCol w:w="880"/>
        <w:gridCol w:w="1127"/>
        <w:gridCol w:w="1302"/>
        <w:gridCol w:w="778"/>
        <w:gridCol w:w="778"/>
        <w:gridCol w:w="763"/>
        <w:gridCol w:w="763"/>
        <w:gridCol w:w="516"/>
        <w:gridCol w:w="516"/>
        <w:gridCol w:w="516"/>
        <w:gridCol w:w="1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3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295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0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0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3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9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9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8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78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2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2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2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525"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gridSpan w:val="1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部门支出预算总表（按功能科目到项级）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295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单位名称（科目）</w:t>
            </w:r>
          </w:p>
        </w:tc>
        <w:tc>
          <w:tcPr>
            <w:tcW w:w="9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基本保障支出</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项目支出不可预见费</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人员经费支出</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标准公用经费支出</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经常性项目</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当年一次性项目</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跨年一次性项目</w:t>
            </w: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3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9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3192.16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2491.16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2195.74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295.42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咸宁市水利和湖泊局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3192.16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2491.16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2195.74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295.42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223001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咸宁市水利和湖泊局本级</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2092.38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1507.38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1310.36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197.03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585.00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585.00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社会保障和就业支出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99.33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99.33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99.33</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20805</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行政事业单位养老支出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99.33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99.33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99.33</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2080505</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66.22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66.22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66.22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2080506</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机关事业单位职业年金缴费支出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卫生健康支出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43.48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43.48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21011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43.48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43.48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公务员医疗补助</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农林水支出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1856.49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1271.49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1074.46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197.03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585.00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585.00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21303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水利</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1856.49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1271.49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1074.46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197.03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585.00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585.00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行政运行</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1423.49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1271.49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1074.46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197.03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一般行政管理事务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2130304</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水利行业业务管理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2130311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水资源节约管理与保护</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2130314</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防汛</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2130319</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江河湖库水系综合整治</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住房保障支出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93.09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93.09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93.09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住房改革支出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93.09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93.09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93.09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提租补贴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223002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咸宁市河道堤防管理局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855.91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781.91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702.50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79.41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社会保障和就业支出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56.66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56.66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20805</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行政事业单位养老支出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56.66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56.66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2080505</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37.77</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2080506</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机关事业单位职业年金缴费支出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卫生健康支出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21011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事业单位医疗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农林水支出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721.56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647.56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568.15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79.41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21303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水利</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721.56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647.56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568.15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79.41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行政运行</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654.56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647.56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79.41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2130307</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长江黄河等流域管理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住房保障支出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住房改革支出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提租补贴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223003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咸宁市水政监察支队</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243.87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201.87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182.88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18.99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社会保障和就业支出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20805</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行政事业单位养老支出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2080505</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2080506</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机关事业单位职业年金缴费支出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卫生健康支出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21011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事业单位医疗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农林水支出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214.19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172.19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153.20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18.99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21303</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水利</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214.19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172.19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153.20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18.99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行政运行</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153.20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2130309</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水利执法监督</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住房保障支出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住房改革支出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2210201</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3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2210202</w:t>
            </w:r>
          </w:p>
        </w:tc>
        <w:tc>
          <w:tcPr>
            <w:tcW w:w="29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提租补贴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pStyle w:val="2"/>
        <w:ind w:left="0" w:leftChars="0" w:firstLine="0" w:firstLineChars="0"/>
        <w:rPr>
          <w:rFonts w:hint="eastAsia"/>
        </w:rPr>
      </w:pPr>
    </w:p>
    <w:tbl>
      <w:tblPr>
        <w:tblStyle w:val="7"/>
        <w:tblW w:w="13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45"/>
        <w:gridCol w:w="3360"/>
        <w:gridCol w:w="2895"/>
        <w:gridCol w:w="36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4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336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89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36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财政拨款收支总表</w:t>
            </w:r>
            <w:r>
              <w:rPr>
                <w:rFonts w:hint="eastAsia" w:ascii="宋体" w:hAnsi="宋体" w:cs="宋体"/>
                <w:b/>
                <w:bCs/>
                <w:i w:val="0"/>
                <w:iCs w:val="0"/>
                <w:color w:val="000000"/>
                <w:kern w:val="0"/>
                <w:sz w:val="44"/>
                <w:szCs w:val="44"/>
                <w:u w:val="none"/>
                <w:lang w:val="en-US" w:eastAsia="zh-CN" w:bidi="ar"/>
              </w:rPr>
              <w:t>（汇总）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项目（按经济分类）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1642.14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标准公用经费支出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三、项目支出不可预见费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四、事业单位经营支出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六、上缴上级支出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bl>
    <w:p>
      <w:pPr>
        <w:rPr>
          <w:rFonts w:hint="eastAsia"/>
        </w:rPr>
      </w:pPr>
    </w:p>
    <w:p>
      <w:pPr>
        <w:pStyle w:val="2"/>
        <w:rPr>
          <w:rFonts w:hint="eastAsia"/>
        </w:rPr>
      </w:pPr>
    </w:p>
    <w:p>
      <w:pPr>
        <w:rPr>
          <w:rFonts w:hint="eastAsia"/>
        </w:rPr>
      </w:pPr>
    </w:p>
    <w:p>
      <w:pPr>
        <w:pStyle w:val="2"/>
        <w:rPr>
          <w:rFonts w:hint="eastAsia"/>
        </w:rPr>
      </w:pPr>
    </w:p>
    <w:tbl>
      <w:tblPr>
        <w:tblStyle w:val="7"/>
        <w:tblW w:w="115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45"/>
        <w:gridCol w:w="2657"/>
        <w:gridCol w:w="2767"/>
        <w:gridCol w:w="2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4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265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7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81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1586"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财政拨款收支总表</w:t>
            </w:r>
            <w:r>
              <w:rPr>
                <w:rFonts w:hint="eastAsia" w:ascii="宋体" w:hAnsi="宋体" w:cs="宋体"/>
                <w:b/>
                <w:bCs/>
                <w:i w:val="0"/>
                <w:iCs w:val="0"/>
                <w:color w:val="000000"/>
                <w:kern w:val="0"/>
                <w:sz w:val="44"/>
                <w:szCs w:val="44"/>
                <w:u w:val="none"/>
                <w:lang w:val="en-US" w:eastAsia="zh-CN" w:bidi="ar"/>
              </w:rPr>
              <w:t>（本级）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65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7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81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55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项目（按经济分类）</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本级一般公共预算拨款</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标准公用经费支出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二、政府性基金拨款</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本级基金</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三、项目支出不可预见费</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上级基金</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四、事业单位经营支出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六、上缴上级支出</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65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7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81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65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76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817"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bl>
    <w:p>
      <w:pPr>
        <w:rPr>
          <w:rFonts w:hint="eastAsia"/>
        </w:rPr>
      </w:pPr>
    </w:p>
    <w:tbl>
      <w:tblPr>
        <w:tblStyle w:val="7"/>
        <w:tblW w:w="10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8"/>
        <w:gridCol w:w="4145"/>
        <w:gridCol w:w="991"/>
        <w:gridCol w:w="991"/>
        <w:gridCol w:w="1227"/>
        <w:gridCol w:w="1020"/>
        <w:gridCol w:w="1050"/>
        <w:gridCol w:w="623"/>
        <w:gridCol w:w="623"/>
        <w:gridCol w:w="623"/>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54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156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0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0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24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6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6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6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6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6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0" w:type="auto"/>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一般公共预算支出表（按功能科目到项级）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基本保障支出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项目支出不可预见费</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事业单位经营支出</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对附属单位补助支出</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标准公用经费支出</w:t>
            </w: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2328.56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1937.56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咸宁市水利和湖泊局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2328.56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1937.56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咸宁市水利和湖泊局本级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1441.63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1166.63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969.61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1205.74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1205.74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水利行业业务管理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水资源节约管理与保护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江河湖库水系综合整治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提租补贴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咸宁市河道堤防管理局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692.70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618.70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539.30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长江黄河等流域管理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提租补贴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咸宁市水政监察支队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水利执法监督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提租补贴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bl>
    <w:p>
      <w:pPr>
        <w:rPr>
          <w:rFonts w:hint="eastAsia"/>
        </w:rPr>
      </w:pPr>
    </w:p>
    <w:p>
      <w:pPr>
        <w:pStyle w:val="2"/>
        <w:rPr>
          <w:rFonts w:hint="eastAsia"/>
        </w:rPr>
      </w:pPr>
    </w:p>
    <w:p>
      <w:pPr>
        <w:rPr>
          <w:rFonts w:hint="eastAsia"/>
        </w:rPr>
      </w:pPr>
    </w:p>
    <w:tbl>
      <w:tblPr>
        <w:tblStyle w:val="7"/>
        <w:tblW w:w="92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80"/>
        <w:gridCol w:w="3644"/>
        <w:gridCol w:w="25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25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34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255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0" w:type="auto"/>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一般公共预算基本支出表（按经济科目到款级）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1937.56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咸宁市水利和湖泊局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1937.56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咸宁市水利和湖泊局本级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1166.63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828.25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咸宁市河道堤防管理局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489.18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79.41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咸宁市水政监察支队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22.34</w:t>
            </w:r>
          </w:p>
        </w:tc>
      </w:tr>
    </w:tbl>
    <w:p>
      <w:pPr>
        <w:pStyle w:val="2"/>
        <w:ind w:left="0" w:leftChars="0" w:firstLine="0" w:firstLineChars="0"/>
        <w:rPr>
          <w:rFonts w:hint="eastAsia"/>
        </w:rPr>
      </w:pPr>
    </w:p>
    <w:p>
      <w:pPr>
        <w:pStyle w:val="2"/>
        <w:rPr>
          <w:rFonts w:hint="eastAsia"/>
        </w:rPr>
      </w:pPr>
    </w:p>
    <w:p>
      <w:pPr>
        <w:rPr>
          <w:rFonts w:hint="eastAsia"/>
        </w:rPr>
      </w:pPr>
    </w:p>
    <w:tbl>
      <w:tblPr>
        <w:tblStyle w:val="7"/>
        <w:tblW w:w="9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35"/>
        <w:gridCol w:w="4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23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441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一般公共预算“三公”经费支出表</w:t>
            </w:r>
            <w:r>
              <w:rPr>
                <w:rFonts w:hint="eastAsia" w:ascii="宋体" w:hAnsi="宋体" w:cs="宋体"/>
                <w:b/>
                <w:bCs/>
                <w:i w:val="0"/>
                <w:iCs w:val="0"/>
                <w:color w:val="000000"/>
                <w:kern w:val="0"/>
                <w:sz w:val="44"/>
                <w:szCs w:val="44"/>
                <w:u w:val="none"/>
                <w:lang w:val="en-US" w:eastAsia="zh-CN" w:bidi="ar"/>
              </w:rPr>
              <w:t>（汇总）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nil"/>
              <w:left w:val="nil"/>
              <w:bottom w:val="nil"/>
              <w:right w:val="nil"/>
            </w:tcBorders>
            <w:shd w:val="clear" w:color="auto" w:fill="auto"/>
            <w:noWrap/>
            <w:vAlign w:val="center"/>
          </w:tcPr>
          <w:p>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3.公车购置及运行维护费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bl>
    <w:p>
      <w:pPr>
        <w:pStyle w:val="2"/>
        <w:ind w:left="0" w:leftChars="0" w:firstLine="0" w:firstLineChars="0"/>
        <w:rPr>
          <w:rFonts w:hint="eastAsia"/>
        </w:rPr>
      </w:pPr>
    </w:p>
    <w:p>
      <w:pPr>
        <w:rPr>
          <w:rFonts w:hint="eastAsia"/>
        </w:rPr>
      </w:pPr>
    </w:p>
    <w:tbl>
      <w:tblPr>
        <w:tblStyle w:val="7"/>
        <w:tblW w:w="10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35"/>
        <w:gridCol w:w="5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23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501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0" w:type="auto"/>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一般公共预算“三公”经费支出表</w:t>
            </w:r>
            <w:r>
              <w:rPr>
                <w:rFonts w:hint="eastAsia" w:ascii="宋体" w:hAnsi="宋体" w:cs="宋体"/>
                <w:b/>
                <w:bCs/>
                <w:i w:val="0"/>
                <w:iCs w:val="0"/>
                <w:color w:val="000000"/>
                <w:kern w:val="0"/>
                <w:sz w:val="44"/>
                <w:szCs w:val="44"/>
                <w:u w:val="none"/>
                <w:lang w:val="en-US" w:eastAsia="zh-CN" w:bidi="ar"/>
              </w:rPr>
              <w:t>（本级）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0" w:type="auto"/>
            <w:tcBorders>
              <w:top w:val="nil"/>
              <w:left w:val="nil"/>
              <w:bottom w:val="nil"/>
              <w:right w:val="nil"/>
            </w:tcBorders>
            <w:shd w:val="clear" w:color="auto" w:fill="auto"/>
            <w:noWrap/>
            <w:vAlign w:val="center"/>
          </w:tcPr>
          <w:p>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3.公车购置及运行维护费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bl>
    <w:p>
      <w:pPr>
        <w:rPr>
          <w:rFonts w:hint="eastAsia"/>
        </w:rPr>
      </w:pPr>
    </w:p>
    <w:p>
      <w:pPr>
        <w:pStyle w:val="2"/>
        <w:ind w:left="0" w:leftChars="0" w:firstLine="0" w:firstLineChars="0"/>
        <w:rPr>
          <w:rFonts w:hint="eastAsia"/>
        </w:rPr>
      </w:pPr>
    </w:p>
    <w:p>
      <w:pPr>
        <w:rPr>
          <w:rFonts w:hint="eastAsia"/>
        </w:rPr>
      </w:pPr>
    </w:p>
    <w:tbl>
      <w:tblPr>
        <w:tblStyle w:val="7"/>
        <w:tblW w:w="13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1515"/>
        <w:gridCol w:w="435"/>
        <w:gridCol w:w="435"/>
        <w:gridCol w:w="1155"/>
        <w:gridCol w:w="1155"/>
        <w:gridCol w:w="960"/>
        <w:gridCol w:w="1230"/>
        <w:gridCol w:w="1230"/>
        <w:gridCol w:w="1230"/>
        <w:gridCol w:w="855"/>
        <w:gridCol w:w="825"/>
        <w:gridCol w:w="975"/>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9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151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6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2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2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23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85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82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7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gridSpan w:val="1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政府性基金预算支出表（按功能科目到项级）</w:t>
            </w:r>
            <w:r>
              <w:rPr>
                <w:rFonts w:hint="eastAsia" w:ascii="宋体" w:hAnsi="宋体" w:cs="宋体"/>
                <w:b/>
                <w:bCs/>
                <w:i w:val="0"/>
                <w:iCs w:val="0"/>
                <w:color w:val="000000"/>
                <w:kern w:val="0"/>
                <w:sz w:val="44"/>
                <w:szCs w:val="44"/>
                <w:u w:val="none"/>
                <w:lang w:val="en-US" w:eastAsia="zh-CN" w:bidi="ar"/>
              </w:rPr>
              <w:t>（汇总）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151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单位名称（科目）</w:t>
            </w:r>
          </w:p>
        </w:tc>
        <w:tc>
          <w:tcPr>
            <w:tcW w:w="43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基本保障支出</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项目支出不可预见费</w:t>
            </w:r>
          </w:p>
        </w:tc>
        <w:tc>
          <w:tcPr>
            <w:tcW w:w="82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人员经费支出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标准公用经费支出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经常性项目</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当年一次性项目</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跨年一次性项目</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9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515" w:type="dxa"/>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nil"/>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nil"/>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960"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230"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230"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230"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825" w:type="dxa"/>
            <w:tcBorders>
              <w:top w:val="single" w:color="000000" w:sz="4" w:space="0"/>
              <w:left w:val="nil"/>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97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96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23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23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23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85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82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97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r>
    </w:tbl>
    <w:p>
      <w:pPr>
        <w:pStyle w:val="2"/>
        <w:ind w:left="0" w:leftChars="0" w:firstLine="0" w:firstLineChars="0"/>
        <w:rPr>
          <w:rFonts w:hint="eastAsia"/>
        </w:rPr>
      </w:pPr>
    </w:p>
    <w:p>
      <w:pPr>
        <w:rPr>
          <w:rFonts w:hint="eastAsia"/>
        </w:rPr>
      </w:pPr>
    </w:p>
    <w:p>
      <w:pPr>
        <w:pStyle w:val="2"/>
        <w:ind w:left="0" w:leftChars="0" w:firstLine="0" w:firstLineChars="0"/>
        <w:rPr>
          <w:rFonts w:hint="eastAsia"/>
        </w:rPr>
      </w:pPr>
    </w:p>
    <w:tbl>
      <w:tblPr>
        <w:tblStyle w:val="7"/>
        <w:tblW w:w="135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1065"/>
        <w:gridCol w:w="435"/>
        <w:gridCol w:w="435"/>
        <w:gridCol w:w="1155"/>
        <w:gridCol w:w="1020"/>
        <w:gridCol w:w="435"/>
        <w:gridCol w:w="975"/>
        <w:gridCol w:w="1335"/>
        <w:gridCol w:w="1335"/>
        <w:gridCol w:w="1080"/>
        <w:gridCol w:w="1170"/>
        <w:gridCol w:w="1185"/>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95" w:type="dxa"/>
            <w:tcBorders>
              <w:top w:val="nil"/>
              <w:left w:val="nil"/>
              <w:bottom w:val="nil"/>
              <w:right w:val="nil"/>
            </w:tcBorders>
            <w:shd w:val="clear" w:color="auto" w:fill="auto"/>
            <w:noWrap/>
            <w:vAlign w:val="bottom"/>
          </w:tcPr>
          <w:p>
            <w:pPr>
              <w:rPr>
                <w:rFonts w:hint="eastAsia" w:ascii="Calibri" w:hAnsi="Calibri" w:cs="Calibri"/>
                <w:i w:val="0"/>
                <w:iCs w:val="0"/>
                <w:color w:val="000000"/>
                <w:sz w:val="22"/>
                <w:szCs w:val="22"/>
                <w:u w:val="none"/>
              </w:rPr>
            </w:pPr>
          </w:p>
        </w:tc>
        <w:tc>
          <w:tcPr>
            <w:tcW w:w="106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2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97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3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33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08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70"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85" w:type="dxa"/>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gridSpan w:val="1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政府性基金预算支出表（按功能科目到项级）</w:t>
            </w:r>
            <w:r>
              <w:rPr>
                <w:rFonts w:hint="eastAsia" w:ascii="宋体" w:hAnsi="宋体" w:cs="宋体"/>
                <w:b/>
                <w:bCs/>
                <w:i w:val="0"/>
                <w:iCs w:val="0"/>
                <w:color w:val="000000"/>
                <w:kern w:val="0"/>
                <w:sz w:val="44"/>
                <w:szCs w:val="44"/>
                <w:u w:val="none"/>
                <w:lang w:val="en-US" w:eastAsia="zh-CN" w:bidi="ar"/>
              </w:rPr>
              <w:t>（本级）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106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单位名称（科目）</w:t>
            </w:r>
          </w:p>
        </w:tc>
        <w:tc>
          <w:tcPr>
            <w:tcW w:w="43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基本保障支出</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项目支出不可预见费</w:t>
            </w:r>
          </w:p>
        </w:tc>
        <w:tc>
          <w:tcPr>
            <w:tcW w:w="117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人员经费支出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标准公用经费支出</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经常性项目</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当年一次性项目</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跨年一次性项目</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9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7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nil"/>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nil"/>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020"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97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33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33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70" w:type="dxa"/>
            <w:tcBorders>
              <w:top w:val="single" w:color="000000" w:sz="4" w:space="0"/>
              <w:left w:val="nil"/>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85" w:type="dxa"/>
            <w:tcBorders>
              <w:top w:val="single" w:color="000000" w:sz="4" w:space="0"/>
              <w:left w:val="single" w:color="000000" w:sz="4" w:space="0"/>
              <w:bottom w:val="single" w:color="000000" w:sz="4" w:space="0"/>
              <w:right w:val="nil"/>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06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02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97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3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33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70"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8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shd w:val="clear" w:color="auto" w:fill="auto"/>
            <w:vAlign w:val="bottom"/>
          </w:tcPr>
          <w:p>
            <w:pPr>
              <w:jc w:val="center"/>
              <w:rPr>
                <w:rFonts w:hint="eastAsia" w:ascii="宋体" w:hAnsi="宋体" w:eastAsia="宋体" w:cs="宋体"/>
                <w:i w:val="0"/>
                <w:iCs w:val="0"/>
                <w:color w:val="000000"/>
                <w:sz w:val="18"/>
                <w:szCs w:val="18"/>
                <w:u w:val="none"/>
              </w:rPr>
            </w:pPr>
          </w:p>
        </w:tc>
      </w:tr>
    </w:tbl>
    <w:p>
      <w:pPr>
        <w:rPr>
          <w:rFonts w:hint="eastAsia"/>
        </w:rPr>
      </w:pPr>
    </w:p>
    <w:p>
      <w:pPr>
        <w:pStyle w:val="2"/>
        <w:rPr>
          <w:rFonts w:hint="eastAsia"/>
        </w:rPr>
      </w:pPr>
    </w:p>
    <w:p>
      <w:pPr>
        <w:keepNext w:val="0"/>
        <w:keepLines w:val="0"/>
        <w:widowControl/>
        <w:suppressLineNumbers w:val="0"/>
        <w:jc w:val="left"/>
        <w:rPr>
          <w:rFonts w:hint="eastAsia" w:ascii="仿宋_GB2312" w:hAnsi="仿宋_GB2312" w:eastAsia="仿宋_GB2312" w:cs="仿宋_GB2312"/>
          <w:b/>
          <w:bCs/>
          <w:sz w:val="32"/>
          <w:szCs w:val="32"/>
        </w:rPr>
      </w:pPr>
      <w:r>
        <w:rPr>
          <w:rFonts w:hint="eastAsia" w:ascii="楷体" w:hAnsi="楷体" w:eastAsia="楷体" w:cs="楷体"/>
          <w:b/>
          <w:bCs/>
          <w:color w:val="000000"/>
          <w:kern w:val="0"/>
          <w:sz w:val="32"/>
          <w:szCs w:val="32"/>
          <w:lang w:val="en-US" w:eastAsia="zh-CN" w:bidi="ar"/>
        </w:rPr>
        <w:t>第四部分 2021年部门预算编制情况及说明</w:t>
      </w:r>
      <w:r>
        <w:rPr>
          <w:rFonts w:hint="eastAsia" w:ascii="仿宋_GB2312" w:hAnsi="仿宋_GB2312" w:eastAsia="仿宋_GB2312" w:cs="仿宋_GB2312"/>
          <w:b/>
          <w:bCs/>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（一）预算收支安排及增减变化情况说明 </w:t>
      </w:r>
    </w:p>
    <w:p>
      <w:pPr>
        <w:keepNext w:val="0"/>
        <w:keepLines w:val="0"/>
        <w:widowControl/>
        <w:suppressLineNumbers w:val="0"/>
        <w:ind w:firstLine="622"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2022年水利和湖泊局部门汇总预算总收入3192.16万元（局机关2092.38万元，所属单位1099.78万元）。</w:t>
      </w:r>
      <w:r>
        <w:rPr>
          <w:rFonts w:hint="eastAsia" w:ascii="仿宋" w:hAnsi="仿宋" w:eastAsia="仿宋" w:cs="仿宋"/>
          <w:color w:val="333333"/>
          <w:kern w:val="0"/>
          <w:sz w:val="31"/>
          <w:szCs w:val="31"/>
          <w:lang w:val="en-US" w:eastAsia="zh-CN" w:bidi="ar"/>
        </w:rPr>
        <w:t>比</w:t>
      </w:r>
      <w:r>
        <w:rPr>
          <w:rFonts w:hint="default" w:ascii="仿宋" w:hAnsi="仿宋" w:eastAsia="仿宋" w:cs="仿宋"/>
          <w:color w:val="333333"/>
          <w:kern w:val="0"/>
          <w:sz w:val="31"/>
          <w:szCs w:val="31"/>
          <w:lang w:val="en-US" w:eastAsia="zh-CN" w:bidi="ar"/>
        </w:rPr>
        <w:t>202</w:t>
      </w:r>
      <w:r>
        <w:rPr>
          <w:rFonts w:hint="eastAsia" w:ascii="仿宋" w:hAnsi="仿宋" w:eastAsia="仿宋" w:cs="仿宋"/>
          <w:color w:val="333333"/>
          <w:kern w:val="0"/>
          <w:sz w:val="31"/>
          <w:szCs w:val="31"/>
          <w:lang w:val="en-US" w:eastAsia="zh-CN" w:bidi="ar"/>
        </w:rPr>
        <w:t>1</w:t>
      </w:r>
      <w:r>
        <w:rPr>
          <w:rFonts w:hint="default" w:ascii="仿宋" w:hAnsi="仿宋" w:eastAsia="仿宋" w:cs="仿宋"/>
          <w:color w:val="333333"/>
          <w:kern w:val="0"/>
          <w:sz w:val="31"/>
          <w:szCs w:val="31"/>
          <w:lang w:val="en-US" w:eastAsia="zh-CN" w:bidi="ar"/>
        </w:rPr>
        <w:t>年市水利和湖泊局总预算收入</w:t>
      </w:r>
      <w:r>
        <w:rPr>
          <w:rFonts w:hint="eastAsia" w:ascii="仿宋" w:hAnsi="仿宋" w:eastAsia="仿宋" w:cs="仿宋"/>
          <w:color w:val="333333"/>
          <w:kern w:val="0"/>
          <w:sz w:val="31"/>
          <w:szCs w:val="31"/>
          <w:lang w:val="en-US" w:eastAsia="zh-CN" w:bidi="ar"/>
        </w:rPr>
        <w:t>9123.68</w:t>
      </w:r>
      <w:r>
        <w:rPr>
          <w:rFonts w:hint="default" w:ascii="仿宋" w:hAnsi="仿宋" w:eastAsia="仿宋" w:cs="仿宋"/>
          <w:color w:val="333333"/>
          <w:kern w:val="0"/>
          <w:sz w:val="31"/>
          <w:szCs w:val="31"/>
          <w:lang w:val="en-US" w:eastAsia="zh-CN" w:bidi="ar"/>
        </w:rPr>
        <w:t>万元</w:t>
      </w:r>
      <w:r>
        <w:rPr>
          <w:rFonts w:hint="eastAsia" w:ascii="仿宋" w:hAnsi="仿宋" w:eastAsia="仿宋" w:cs="仿宋"/>
          <w:color w:val="333333"/>
          <w:kern w:val="0"/>
          <w:sz w:val="31"/>
          <w:szCs w:val="31"/>
          <w:lang w:val="en-US" w:eastAsia="zh-CN" w:bidi="ar"/>
        </w:rPr>
        <w:t>减少5931.52万元，减少幅度为65.01%，主要原因一是减少大洲湖生态建设示范区PPP项目4853.06万元，二是减少两个常年性项目。其中：本年收入中一般公共预算拨款为2638.56万元（局机关1751.63万元，所属单位886.93万元），社保基金拨款553.6 万元（局机关340.75万元，所属单位212.85万元）。一般公共预算拨款较上年减少主要原因是减少了两个常年性项目。</w:t>
      </w:r>
    </w:p>
    <w:p>
      <w:pPr>
        <w:keepNext w:val="0"/>
        <w:keepLines w:val="0"/>
        <w:widowControl/>
        <w:suppressLineNumbers w:val="0"/>
        <w:ind w:firstLine="622" w:firstLineChars="200"/>
        <w:jc w:val="left"/>
        <w:rPr>
          <w:rFonts w:hint="eastAsia" w:ascii="仿宋" w:hAnsi="仿宋" w:eastAsia="仿宋" w:cs="仿宋"/>
          <w:color w:val="333333"/>
          <w:kern w:val="0"/>
          <w:sz w:val="31"/>
          <w:szCs w:val="31"/>
          <w:lang w:val="en-US" w:eastAsia="zh-CN" w:bidi="ar"/>
        </w:rPr>
      </w:pPr>
      <w:r>
        <w:rPr>
          <w:rFonts w:ascii="仿宋" w:hAnsi="仿宋" w:eastAsia="仿宋" w:cs="仿宋"/>
          <w:b/>
          <w:bCs/>
          <w:color w:val="333333"/>
          <w:kern w:val="0"/>
          <w:sz w:val="31"/>
          <w:szCs w:val="31"/>
          <w:lang w:val="en-US" w:eastAsia="zh-CN" w:bidi="ar"/>
        </w:rPr>
        <w:t>202</w:t>
      </w:r>
      <w:r>
        <w:rPr>
          <w:rFonts w:hint="eastAsia" w:ascii="仿宋" w:hAnsi="仿宋" w:eastAsia="仿宋" w:cs="仿宋"/>
          <w:b/>
          <w:bCs/>
          <w:color w:val="333333"/>
          <w:kern w:val="0"/>
          <w:sz w:val="31"/>
          <w:szCs w:val="31"/>
          <w:lang w:val="en-US" w:eastAsia="zh-CN" w:bidi="ar"/>
        </w:rPr>
        <w:t>2</w:t>
      </w:r>
      <w:r>
        <w:rPr>
          <w:rFonts w:ascii="仿宋" w:hAnsi="仿宋" w:eastAsia="仿宋" w:cs="仿宋"/>
          <w:b/>
          <w:bCs/>
          <w:color w:val="333333"/>
          <w:kern w:val="0"/>
          <w:sz w:val="31"/>
          <w:szCs w:val="31"/>
          <w:lang w:val="en-US" w:eastAsia="zh-CN" w:bidi="ar"/>
        </w:rPr>
        <w:t>年</w:t>
      </w:r>
      <w:r>
        <w:rPr>
          <w:rFonts w:hint="eastAsia" w:ascii="仿宋" w:hAnsi="仿宋" w:eastAsia="仿宋" w:cs="仿宋"/>
          <w:b/>
          <w:bCs/>
          <w:color w:val="333333"/>
          <w:kern w:val="0"/>
          <w:sz w:val="31"/>
          <w:szCs w:val="31"/>
          <w:lang w:val="en-US" w:eastAsia="zh-CN" w:bidi="ar"/>
        </w:rPr>
        <w:t>水利和湖泊局</w:t>
      </w:r>
      <w:r>
        <w:rPr>
          <w:rFonts w:ascii="仿宋" w:hAnsi="仿宋" w:eastAsia="仿宋" w:cs="仿宋"/>
          <w:b/>
          <w:bCs/>
          <w:color w:val="333333"/>
          <w:kern w:val="0"/>
          <w:sz w:val="31"/>
          <w:szCs w:val="31"/>
          <w:lang w:val="en-US" w:eastAsia="zh-CN" w:bidi="ar"/>
        </w:rPr>
        <w:t xml:space="preserve">部门汇总预算总支出 </w:t>
      </w:r>
      <w:r>
        <w:rPr>
          <w:rFonts w:hint="eastAsia" w:ascii="仿宋" w:hAnsi="仿宋" w:eastAsia="仿宋" w:cs="仿宋"/>
          <w:b/>
          <w:bCs/>
          <w:color w:val="333333"/>
          <w:kern w:val="0"/>
          <w:sz w:val="31"/>
          <w:szCs w:val="31"/>
          <w:lang w:val="en-US" w:eastAsia="zh-CN" w:bidi="ar"/>
        </w:rPr>
        <w:t>3192.16</w:t>
      </w:r>
      <w:r>
        <w:rPr>
          <w:rFonts w:ascii="仿宋" w:hAnsi="仿宋" w:eastAsia="仿宋" w:cs="仿宋"/>
          <w:b/>
          <w:bCs/>
          <w:color w:val="333333"/>
          <w:kern w:val="0"/>
          <w:sz w:val="31"/>
          <w:szCs w:val="31"/>
          <w:lang w:val="en-US" w:eastAsia="zh-CN" w:bidi="ar"/>
        </w:rPr>
        <w:t>万元</w:t>
      </w:r>
      <w:r>
        <w:rPr>
          <w:rFonts w:hint="eastAsia" w:ascii="仿宋" w:hAnsi="仿宋" w:eastAsia="仿宋" w:cs="仿宋"/>
          <w:b/>
          <w:bCs/>
          <w:color w:val="333333"/>
          <w:kern w:val="0"/>
          <w:sz w:val="31"/>
          <w:szCs w:val="31"/>
          <w:lang w:val="en-US" w:eastAsia="zh-CN" w:bidi="ar"/>
        </w:rPr>
        <w:t>（局机关2092.38万元，所属单位1099.78万元）</w:t>
      </w:r>
      <w:r>
        <w:rPr>
          <w:rFonts w:ascii="仿宋" w:hAnsi="仿宋" w:eastAsia="仿宋" w:cs="仿宋"/>
          <w:b/>
          <w:bCs/>
          <w:color w:val="333333"/>
          <w:kern w:val="0"/>
          <w:sz w:val="31"/>
          <w:szCs w:val="31"/>
          <w:lang w:val="en-US" w:eastAsia="zh-CN" w:bidi="ar"/>
        </w:rPr>
        <w:t>。</w:t>
      </w:r>
      <w:r>
        <w:rPr>
          <w:rFonts w:hint="eastAsia" w:ascii="仿宋" w:hAnsi="仿宋" w:eastAsia="仿宋" w:cs="仿宋"/>
          <w:color w:val="333333"/>
          <w:kern w:val="0"/>
          <w:sz w:val="31"/>
          <w:szCs w:val="31"/>
          <w:lang w:val="en-US" w:eastAsia="zh-CN" w:bidi="ar"/>
        </w:rPr>
        <w:t>比</w:t>
      </w:r>
      <w:r>
        <w:rPr>
          <w:rFonts w:hint="default" w:ascii="仿宋" w:hAnsi="仿宋" w:eastAsia="仿宋" w:cs="仿宋"/>
          <w:color w:val="333333"/>
          <w:kern w:val="0"/>
          <w:sz w:val="31"/>
          <w:szCs w:val="31"/>
          <w:lang w:val="en-US" w:eastAsia="zh-CN" w:bidi="ar"/>
        </w:rPr>
        <w:t>202</w:t>
      </w:r>
      <w:r>
        <w:rPr>
          <w:rFonts w:hint="eastAsia" w:ascii="仿宋" w:hAnsi="仿宋" w:eastAsia="仿宋" w:cs="仿宋"/>
          <w:color w:val="333333"/>
          <w:kern w:val="0"/>
          <w:sz w:val="31"/>
          <w:szCs w:val="31"/>
          <w:lang w:val="en-US" w:eastAsia="zh-CN" w:bidi="ar"/>
        </w:rPr>
        <w:t>1</w:t>
      </w:r>
      <w:r>
        <w:rPr>
          <w:rFonts w:hint="default" w:ascii="仿宋" w:hAnsi="仿宋" w:eastAsia="仿宋" w:cs="仿宋"/>
          <w:color w:val="333333"/>
          <w:kern w:val="0"/>
          <w:sz w:val="31"/>
          <w:szCs w:val="31"/>
          <w:lang w:val="en-US" w:eastAsia="zh-CN" w:bidi="ar"/>
        </w:rPr>
        <w:t>年市水利和湖泊局收入总预算</w:t>
      </w:r>
      <w:r>
        <w:rPr>
          <w:rFonts w:hint="eastAsia" w:ascii="仿宋" w:hAnsi="仿宋" w:eastAsia="仿宋" w:cs="仿宋"/>
          <w:color w:val="333333"/>
          <w:kern w:val="0"/>
          <w:sz w:val="31"/>
          <w:szCs w:val="31"/>
          <w:lang w:val="en-US" w:eastAsia="zh-CN" w:bidi="ar"/>
        </w:rPr>
        <w:t>支出9123.68</w:t>
      </w:r>
      <w:r>
        <w:rPr>
          <w:rFonts w:hint="default" w:ascii="仿宋" w:hAnsi="仿宋" w:eastAsia="仿宋" w:cs="仿宋"/>
          <w:color w:val="333333"/>
          <w:kern w:val="0"/>
          <w:sz w:val="31"/>
          <w:szCs w:val="31"/>
          <w:lang w:val="en-US" w:eastAsia="zh-CN" w:bidi="ar"/>
        </w:rPr>
        <w:t>万元</w:t>
      </w:r>
      <w:r>
        <w:rPr>
          <w:rFonts w:hint="eastAsia" w:ascii="仿宋" w:hAnsi="仿宋" w:eastAsia="仿宋" w:cs="仿宋"/>
          <w:color w:val="333333"/>
          <w:kern w:val="0"/>
          <w:sz w:val="31"/>
          <w:szCs w:val="31"/>
          <w:lang w:val="en-US" w:eastAsia="zh-CN" w:bidi="ar"/>
        </w:rPr>
        <w:t>减少5931.52万元，减少幅度为65.01%，主要原因一是减少大洲湖生态建设示范区PPP项目4853.06万元，二是减少两个常年性项目。</w:t>
      </w:r>
      <w:r>
        <w:rPr>
          <w:rFonts w:ascii="仿宋" w:hAnsi="仿宋" w:eastAsia="仿宋" w:cs="仿宋"/>
          <w:color w:val="333333"/>
          <w:kern w:val="0"/>
          <w:sz w:val="31"/>
          <w:szCs w:val="31"/>
          <w:lang w:val="en-US" w:eastAsia="zh-CN" w:bidi="ar"/>
        </w:rPr>
        <w:t>按经济分类细分，本年支出</w:t>
      </w:r>
      <w:r>
        <w:rPr>
          <w:rFonts w:hint="eastAsia" w:ascii="仿宋" w:hAnsi="仿宋" w:eastAsia="仿宋" w:cs="仿宋"/>
          <w:color w:val="333333"/>
          <w:kern w:val="0"/>
          <w:sz w:val="31"/>
          <w:szCs w:val="31"/>
          <w:lang w:val="en-US" w:eastAsia="zh-CN" w:bidi="ar"/>
        </w:rPr>
        <w:t>3192.16</w:t>
      </w:r>
      <w:r>
        <w:rPr>
          <w:rFonts w:ascii="仿宋" w:hAnsi="仿宋" w:eastAsia="仿宋" w:cs="仿宋"/>
          <w:color w:val="333333"/>
          <w:kern w:val="0"/>
          <w:sz w:val="31"/>
          <w:szCs w:val="31"/>
          <w:lang w:val="en-US" w:eastAsia="zh-CN" w:bidi="ar"/>
        </w:rPr>
        <w:t>万</w:t>
      </w:r>
      <w:r>
        <w:rPr>
          <w:rFonts w:hint="eastAsia" w:ascii="仿宋" w:hAnsi="仿宋" w:eastAsia="仿宋" w:cs="仿宋"/>
          <w:color w:val="333333"/>
          <w:kern w:val="0"/>
          <w:sz w:val="31"/>
          <w:szCs w:val="31"/>
          <w:lang w:val="en-US" w:eastAsia="zh-CN" w:bidi="ar"/>
        </w:rPr>
        <w:t>（局机关2092.38万元，所属单位1099.78万元）</w:t>
      </w:r>
      <w:r>
        <w:rPr>
          <w:rFonts w:ascii="仿宋" w:hAnsi="仿宋" w:eastAsia="仿宋" w:cs="仿宋"/>
          <w:color w:val="333333"/>
          <w:kern w:val="0"/>
          <w:sz w:val="31"/>
          <w:szCs w:val="31"/>
          <w:lang w:val="en-US" w:eastAsia="zh-CN" w:bidi="ar"/>
        </w:rPr>
        <w:t>，包括基本保</w:t>
      </w:r>
      <w:r>
        <w:rPr>
          <w:rFonts w:hint="eastAsia" w:ascii="仿宋" w:hAnsi="仿宋" w:eastAsia="仿宋" w:cs="仿宋"/>
          <w:color w:val="333333"/>
          <w:kern w:val="0"/>
          <w:sz w:val="31"/>
          <w:szCs w:val="31"/>
          <w:lang w:val="en-US" w:eastAsia="zh-CN" w:bidi="ar"/>
        </w:rPr>
        <w:t>障支出 2491.16 万元(局机关1507.38万元，所属单位983.78万元)，项目支出701万元（局机关585万元，所属单位116万元）。一般公共预算拨款较上年减少主要原因是减少了两个常年性项目。</w:t>
      </w: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bookmarkStart w:id="0" w:name="_GoBack"/>
      <w:bookmarkEnd w:id="0"/>
      <w:r>
        <w:rPr>
          <w:rFonts w:hint="eastAsia" w:ascii="仿宋" w:hAnsi="仿宋" w:eastAsia="仿宋" w:cs="仿宋"/>
          <w:b/>
          <w:bCs/>
          <w:color w:val="333333"/>
          <w:kern w:val="0"/>
          <w:sz w:val="31"/>
          <w:szCs w:val="31"/>
          <w:lang w:val="en-US" w:eastAsia="zh-CN" w:bidi="ar"/>
        </w:rPr>
        <w:t xml:space="preserve">（二）机关运行经费安排及增减变化情况说明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2022 年机关运行经费预算295.43万元（其中：局机关197.03万元，所属单位98.4万元），其中：办公费 20.19万元（其中：局机关17.5万元，所属单位2.69万元）、印刷费 3.6万元（其中：局机关3万元，所属单位0.6万元）、水电费5.63万元（其中：局机关1.5万元，所属单位4.13万元）、邮电费8.75万元（其中：局机关6万元，所属单位2.75万元）、</w:t>
      </w:r>
      <w:r>
        <w:rPr>
          <w:rFonts w:hint="eastAsia" w:ascii="仿宋" w:hAnsi="仿宋" w:eastAsia="仿宋" w:cs="仿宋"/>
          <w:color w:val="333333"/>
          <w:kern w:val="0"/>
          <w:sz w:val="31"/>
          <w:szCs w:val="31"/>
          <w:lang w:val="en-US" w:eastAsia="zh-CN" w:bidi="ar"/>
        </w:rPr>
        <w:tab/>
      </w:r>
      <w:r>
        <w:rPr>
          <w:rFonts w:hint="eastAsia" w:ascii="仿宋" w:hAnsi="仿宋" w:eastAsia="仿宋" w:cs="仿宋"/>
          <w:color w:val="333333"/>
          <w:kern w:val="0"/>
          <w:sz w:val="31"/>
          <w:szCs w:val="31"/>
          <w:lang w:val="en-US" w:eastAsia="zh-CN" w:bidi="ar"/>
        </w:rPr>
        <w:t>物业管理费4.14万元（其中：局机关1万元，所属单位3.14万元）、差旅费 13.4万元（其中：局机关10.4万元，所属单位3万元）、因公出国(境)费用 0 万元、维修(护)费8.3万元（其中：局机关7万元，所属单位1.3万元）、会议费1万元（其中：局机关1万元）、培训费1万元（其中：局机关1万元）、公务接待费7万元（其中：局机关6万元，所属单位 1万元）、劳务费 6.9万元（其中：局机关6万元，所属单位 0.9万元）、委托业务费7.6万元（其中：局机关6万元，所属单位 1.6万元）、工会经费18.5 万元（其中：局机关12.73万元，所属单位 5.77万元）、福利费 17.66 万元（其中：局机关10.46万元，所属单位7.2万元）、其他交通费用59.27万元（其中：局机关35.2万元，所属单位 24.07万元）、其他商品和服务支出99.49万元（其中：局机关59.24万元，所属单位 40.25万元）资本性支出13万元（其中：局机关13万元）。比上年度239.01增加56.42万元，上升23%，上升原因：一是运转类预算支出测算方法改变，按前三年平均数测算，有所增加，特定目标类支出相应减少；二是增加了工会经费按上年工资全口径计算，增加了老干部公用经费、体检费用等人员福利费支出。</w:t>
      </w: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 xml:space="preserve">（三）“三公”经费安排及增减变化情况说明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咸宁市水利和湖泊局 2022 年“三公”经费预算23.5 万元（其中局机关22.5万元，所属单位1万元），占预算总额的0.22%，比上年20.09万元增加3.41万元,上升16%。上升原因：一是2021年预算受2020年疫情影响，基数较低；二是在特定业务费中安排了部分“三公”支出。</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 xml:space="preserve">因公出国（境）费用 0 万元，比上年增加（减少）0 万元,增长（下降）0%。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公务用车运行维护费16万元（其中局机关16万元），比上年增加4万元,上涨33%。上升原因：预测今年汛情较去年稍微严峻，在特定业务费-水旱灾害防御工作经费中安排车辆运行维护费4万元。</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 xml:space="preserve">公务接待费7.5万元（其中局机关6.5万元，所属单位1万元），比上年减少0.59万元,下降7%。下降原因：加强公务接待管理，合理压缩一般行政性开支，严格控制“三公”经费支出。 </w:t>
      </w:r>
    </w:p>
    <w:p>
      <w:pPr>
        <w:keepNext w:val="0"/>
        <w:keepLines w:val="0"/>
        <w:widowControl/>
        <w:suppressLineNumbers w:val="0"/>
        <w:ind w:firstLine="643" w:firstLineChars="200"/>
        <w:jc w:val="left"/>
        <w:rPr>
          <w:rFonts w:hint="eastAsia" w:ascii="仿宋" w:hAnsi="仿宋" w:eastAsia="仿宋" w:cs="仿宋"/>
          <w:b/>
          <w:bCs/>
          <w:color w:val="333333"/>
          <w:kern w:val="0"/>
          <w:sz w:val="32"/>
          <w:szCs w:val="32"/>
          <w:lang w:val="en-US" w:eastAsia="zh-CN" w:bidi="ar"/>
        </w:rPr>
      </w:pPr>
      <w:r>
        <w:rPr>
          <w:rFonts w:hint="eastAsia" w:ascii="仿宋" w:hAnsi="仿宋" w:eastAsia="仿宋" w:cs="仿宋"/>
          <w:b/>
          <w:bCs/>
          <w:color w:val="333333"/>
          <w:kern w:val="0"/>
          <w:sz w:val="32"/>
          <w:szCs w:val="32"/>
          <w:lang w:val="en-US" w:eastAsia="zh-CN" w:bidi="ar"/>
        </w:rPr>
        <w:t xml:space="preserve">（四）政府采购预算安排及增减变化情况说明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 xml:space="preserve">咸宁市水利和湖泊局严格按照《中华人民共和国政府采购法》《咸宁市年政府集中采购目录及标准》有关规定，切实做到“应编尽编，应采尽采”。2022年，我单位政府采购预算276.9万元，其中货物类采购预算127.99万元;服务类采购预算149万元;比上年减少642.09万元,降低 69%，减少原因：特定目标类项目减少，服务类采购减少。 </w:t>
      </w:r>
    </w:p>
    <w:p>
      <w:pPr>
        <w:keepNext w:val="0"/>
        <w:keepLines w:val="0"/>
        <w:widowControl/>
        <w:suppressLineNumbers w:val="0"/>
        <w:ind w:firstLine="643" w:firstLineChars="200"/>
        <w:jc w:val="left"/>
        <w:rPr>
          <w:rFonts w:hint="eastAsia" w:ascii="仿宋" w:hAnsi="仿宋" w:eastAsia="仿宋" w:cs="仿宋"/>
          <w:b/>
          <w:bCs/>
          <w:color w:val="333333"/>
          <w:kern w:val="0"/>
          <w:sz w:val="32"/>
          <w:szCs w:val="32"/>
          <w:lang w:val="en-US" w:eastAsia="zh-CN" w:bidi="ar"/>
        </w:rPr>
      </w:pPr>
      <w:r>
        <w:rPr>
          <w:rFonts w:hint="eastAsia" w:ascii="仿宋" w:hAnsi="仿宋" w:eastAsia="仿宋" w:cs="仿宋"/>
          <w:b/>
          <w:bCs/>
          <w:color w:val="333333"/>
          <w:kern w:val="0"/>
          <w:sz w:val="32"/>
          <w:szCs w:val="32"/>
          <w:lang w:val="en-US" w:eastAsia="zh-CN" w:bidi="ar"/>
        </w:rPr>
        <w:t xml:space="preserve">（五）国有资产占用及增减变化情况说明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国有资产占用情况说明：截至2021年12月31日，本单位保有车辆共有3辆，其中，领导干部用车 0 辆，一般公务用车 0 辆、特种专业技术用车 0 辆，其他用车 3辆，其他用车主要是机要通信用车 0台，应急公务用车2辆、水旱灾害防御应急公务用车1辆离退休干部服务用车 0 台；单位价值 50 万元以上通用设备 1 台（套）。单价100万元以上专用设备1套。较2021年初增加0台领导干部用车，其他资产变化如下：新购置房屋及附属物2.5万元，专用设备564.75万元，通用设备36.384万元，无形资产5.1万元。</w:t>
      </w:r>
    </w:p>
    <w:p>
      <w:pPr>
        <w:keepNext w:val="0"/>
        <w:keepLines w:val="0"/>
        <w:widowControl/>
        <w:suppressLineNumbers w:val="0"/>
        <w:ind w:firstLine="643" w:firstLineChars="200"/>
        <w:jc w:val="left"/>
        <w:rPr>
          <w:rFonts w:hint="eastAsia" w:ascii="仿宋" w:hAnsi="仿宋" w:eastAsia="仿宋" w:cs="仿宋"/>
          <w:b/>
          <w:bCs/>
          <w:color w:val="333333"/>
          <w:kern w:val="0"/>
          <w:sz w:val="32"/>
          <w:szCs w:val="32"/>
          <w:lang w:val="en-US" w:eastAsia="zh-CN" w:bidi="ar"/>
        </w:rPr>
      </w:pPr>
      <w:r>
        <w:rPr>
          <w:rFonts w:hint="eastAsia" w:ascii="仿宋" w:hAnsi="仿宋" w:eastAsia="仿宋" w:cs="仿宋"/>
          <w:b/>
          <w:bCs/>
          <w:color w:val="333333"/>
          <w:kern w:val="0"/>
          <w:sz w:val="32"/>
          <w:szCs w:val="32"/>
          <w:lang w:val="en-US" w:eastAsia="zh-CN" w:bidi="ar"/>
        </w:rPr>
        <w:t xml:space="preserve">（六）政府性基金预算支出情况说明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政府性基金预算支出为0。</w:t>
      </w:r>
    </w:p>
    <w:p>
      <w:pPr>
        <w:keepNext w:val="0"/>
        <w:keepLines w:val="0"/>
        <w:widowControl/>
        <w:suppressLineNumbers w:val="0"/>
        <w:ind w:firstLine="643" w:firstLineChars="200"/>
        <w:jc w:val="left"/>
        <w:rPr>
          <w:rFonts w:hint="eastAsia" w:ascii="仿宋" w:hAnsi="仿宋" w:eastAsia="仿宋" w:cs="仿宋"/>
          <w:b/>
          <w:bCs/>
          <w:color w:val="333333"/>
          <w:kern w:val="0"/>
          <w:sz w:val="32"/>
          <w:szCs w:val="32"/>
          <w:lang w:val="en-US" w:eastAsia="zh-CN" w:bidi="ar"/>
        </w:rPr>
      </w:pPr>
      <w:r>
        <w:rPr>
          <w:rFonts w:hint="eastAsia" w:ascii="仿宋" w:hAnsi="仿宋" w:eastAsia="仿宋" w:cs="仿宋"/>
          <w:b/>
          <w:bCs/>
          <w:color w:val="333333"/>
          <w:kern w:val="0"/>
          <w:sz w:val="32"/>
          <w:szCs w:val="32"/>
          <w:lang w:val="en-US" w:eastAsia="zh-CN" w:bidi="ar"/>
        </w:rPr>
        <w:t xml:space="preserve">（七）2021 年部门预算绩效情况说明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1、部门预算绩效开展情况：2022年咸宁市水利和湖泊局特定目标类及其他运转类支出275万元，各项目均按照预算绩效管理工作的要求，开展绩效目标编制及评审、绩效监控、绩效评价等工作，并关注项目目标与预算内容、工作计划的一致性，形成了科学合理、规范完整且可量化、可评价的指标体系。</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2、重点项目绩效目标说明。</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办公大楼维护运行项目45万元，年度目标：消防事故率0，职工满意度95%以上，办公大楼环境卫生符合国家文明城市创建标准。中长期目标：消防事故率0，办公大楼环境卫生符合国家文明城市创建标准。产出数量指标：办公大楼维护频次，指标值＞12次/年；产出质量指标1：消防安全事故发生率，指标值0；产出质量指标2：公共设施完好率，指标值≥90%；社会效益指标：改善工作环境、提高办公质量，指标值优；满意度指标：职工满意度，指标值≥85%。</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水资源管理与保护项目70万元，年度目标：落实最严格水资源管理制度和国家节水行动，完成年度任务，通过省级考核。中长期目标：落实最严格水资源管理制度和国家节水行动，促进全市水资源管理和节约用水工作提档升级。产出数量指标1：最严格水资源管理“三条红线”考核范围，指标值6县市区；产出数量指标2：农田灌溉水有效利用系数测算，指标值1次；产出数量指标3：编制并发布全市水土保持公报，指标值1次；产出质量指标1：水土保持公报，指标值通过专家审查；产出质量指标2：节水型机关创建复核成功，指标值100%；社会效益指标：反映农田灌溉用水效率，指标值100%；生态效益指标1：水土流失，指标值较往年减少；生态效益指标2：河湖面貌，指标值较往年改善；满意度指标：服务对象满意率，指标值≥95%。</w:t>
      </w:r>
    </w:p>
    <w:p>
      <w:pPr>
        <w:keepNext w:val="0"/>
        <w:keepLines w:val="0"/>
        <w:widowControl/>
        <w:suppressLineNumbers w:val="0"/>
        <w:ind w:firstLine="620" w:firstLineChars="200"/>
        <w:jc w:val="left"/>
        <w:rPr>
          <w:rFonts w:hint="default"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水旱灾害防御项目75万元，年度目标：确保标准洪水之内不垮一堤、不溃一坝、不因灾死亡一人。中长期目标：通过水利工程调度，减少极端天气期间水旱灾害造成的损失，维护社会和谐稳定。产出数量指标1：水旱灾害防御知识培训，指标值≥1次；产出数量指标2：防汛会商会议，指标值≥10次；产出数量指标3：水工程调度，指标值≥10次；产出质量指标1：山洪测站到报率，指标值≥90%；产出质量指标2：水文、气象预报准确率，指标值≥90%；社会效益指标：因灾伤亡率，指标值≤1%；经济效益指标：极端天气损失，指标值≤10%；生态效益指标：防灾减灾生态效益，指标值优秀；满意度指标：群众满意度，指标值≥85%。</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河湖长制项目160万元，年度目标：全市河湖长制工作完成年度任务，通过省级考核。中长期目标：全市河湖长制工作工作提档升级。产出数量指标1：市级河湖水质水量月报，指标值每年12批次；产出数量指标2：无人机河湖巡查，指标值≥3次/年；产出数量指标3：全市河湖长制能力培训，指标值1次；产出质量指标1：市级河湖长履职达标率，指标值≥95%；产出质量指标2：河湖长制工作考核，指标值通过省级考核；社会效益指标：全社会对河湖保护工作的责任意识和参与意识，指标值显著提高；生态效益指标：规范化管理市级河湖，指标值16条；满意度指标：受益群众满意度，指标值≥95%。</w:t>
      </w:r>
    </w:p>
    <w:p>
      <w:pPr>
        <w:pStyle w:val="2"/>
        <w:ind w:left="0" w:leftChars="0" w:firstLine="620" w:firstLineChars="200"/>
        <w:rPr>
          <w:rFonts w:hint="default"/>
          <w:lang w:val="en-US" w:eastAsia="zh-CN"/>
        </w:rPr>
      </w:pPr>
      <w:r>
        <w:rPr>
          <w:rFonts w:hint="eastAsia" w:ascii="仿宋" w:hAnsi="仿宋" w:eastAsia="仿宋" w:cs="仿宋"/>
          <w:color w:val="333333"/>
          <w:kern w:val="0"/>
          <w:sz w:val="31"/>
          <w:szCs w:val="31"/>
          <w:lang w:val="en-US" w:eastAsia="zh-CN" w:bidi="ar"/>
        </w:rPr>
        <w:t>淦河修复管理和生态补水项目50万元，年度目标：保证淦河城区河段“绿水长流”。中长期目标：提高我市环境的承载量，保护我市及周边环境，从而为我市的发展和环境保护创造和谐关系，提高我市资源综合利用水平与市场竞争能力，保障城市生活环境和生态环境的长效治理。产出数量指标：橡皮坝正常运转，指标值3座；产出质量指标：堤防达标率，指标值≥95%；产出成本指标：成本控制，指标值50万元；生态效益指标：河道环境改善，指标值&gt;80%；可持续影响指标：河道整治综合防洪排涝能力达标，指标值&gt;80%；满意度指标：受益群众满意度，指标值≥90%。</w:t>
      </w:r>
    </w:p>
    <w:p>
      <w:pPr>
        <w:keepNext w:val="0"/>
        <w:keepLines w:val="0"/>
        <w:widowControl/>
        <w:suppressLineNumbers w:val="0"/>
        <w:jc w:val="left"/>
        <w:rPr>
          <w:rFonts w:hint="eastAsia" w:ascii="楷体" w:hAnsi="楷体" w:eastAsia="楷体" w:cs="楷体"/>
          <w:b/>
          <w:bCs/>
          <w:color w:val="333333"/>
          <w:kern w:val="0"/>
          <w:sz w:val="31"/>
          <w:szCs w:val="31"/>
          <w:lang w:val="en-US" w:eastAsia="zh-CN" w:bidi="ar"/>
        </w:rPr>
      </w:pPr>
      <w:r>
        <w:rPr>
          <w:rFonts w:hint="eastAsia" w:ascii="楷体" w:hAnsi="楷体" w:eastAsia="楷体" w:cs="楷体"/>
          <w:b/>
          <w:bCs/>
          <w:color w:val="333333"/>
          <w:kern w:val="0"/>
          <w:sz w:val="31"/>
          <w:szCs w:val="31"/>
          <w:lang w:val="en-US" w:eastAsia="zh-CN" w:bidi="ar"/>
        </w:rPr>
        <w:t>第五部分 名词解释</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（一）财政拨款收入：指市本级财政当年拨付的资金。</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（二）上级专项补助收入：指除上述“财政拨款收入”等以外的上级财政部门交办任务相应安排的资金。</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（三）上年结余（转）：指上年度结余转入经费。</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（四）一般公共服务（类）行政运行（项）：指XX部门机关及所属管理的事业单位用于保障机构正常运行、开展日常工作的基本支出。</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（五）一般公共服务（类）一般行政管理（项）：指XX部门行政单位及参照公务员管理事业单位用于科研、监督检查、项目评审等项目支出。</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（六）一般公共服务（类）机关服务（项）：指XX部门机关用于办公楼日常维修维护等后勤保障服务的项目支出。</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（七）基本支出：指为保障机构正常运转、完成日常工作任务而发生的人员支出和公用支出。</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（八）项目支出：指在基本支出之外为完成特定行政任务和事业发展目标所发生的支出。</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九）“三公”经费：指用财政拨款安排的因公出国（境）费、公务用车运行维护、公务接待费。其中，因公出国(境)费,指单位工作人员公务出国(境)的住宿费、差旅费、伙食补助费、杂费、培训费等支出；公务用车购置及运行费,指单位公务用车燃料费、维修费、过路过桥费、保险费等支出；公务接待费,指单位按规定开支的各类公务接待支出。</w:t>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0NDRiZDJmMmM1Y2I0NzY4NWNkYjQzMjMyODFhNDEifQ=="/>
  </w:docVars>
  <w:rsids>
    <w:rsidRoot w:val="00172A27"/>
    <w:rsid w:val="02DE28B7"/>
    <w:rsid w:val="03097CA8"/>
    <w:rsid w:val="037B3A2E"/>
    <w:rsid w:val="058E0EFD"/>
    <w:rsid w:val="064E66CD"/>
    <w:rsid w:val="0AF40301"/>
    <w:rsid w:val="0CE44E5A"/>
    <w:rsid w:val="0E2018FB"/>
    <w:rsid w:val="0ED13256"/>
    <w:rsid w:val="0F5E4206"/>
    <w:rsid w:val="10000946"/>
    <w:rsid w:val="101D7E10"/>
    <w:rsid w:val="1128649A"/>
    <w:rsid w:val="11893AEC"/>
    <w:rsid w:val="11EB2C67"/>
    <w:rsid w:val="12DC1936"/>
    <w:rsid w:val="136F214C"/>
    <w:rsid w:val="13875A27"/>
    <w:rsid w:val="1792304C"/>
    <w:rsid w:val="180D7A9E"/>
    <w:rsid w:val="1CC263EF"/>
    <w:rsid w:val="1E017FB5"/>
    <w:rsid w:val="1E4C1579"/>
    <w:rsid w:val="20672C08"/>
    <w:rsid w:val="234A0342"/>
    <w:rsid w:val="2472619F"/>
    <w:rsid w:val="26FE6A7B"/>
    <w:rsid w:val="284A07B2"/>
    <w:rsid w:val="2A62237A"/>
    <w:rsid w:val="2A84742C"/>
    <w:rsid w:val="2CE824A0"/>
    <w:rsid w:val="2D833675"/>
    <w:rsid w:val="2DCA6720"/>
    <w:rsid w:val="31110585"/>
    <w:rsid w:val="330B65D1"/>
    <w:rsid w:val="372A7179"/>
    <w:rsid w:val="38D0446C"/>
    <w:rsid w:val="397338DC"/>
    <w:rsid w:val="3A7E6904"/>
    <w:rsid w:val="3E5D2C83"/>
    <w:rsid w:val="420C4719"/>
    <w:rsid w:val="42957EA2"/>
    <w:rsid w:val="44653E88"/>
    <w:rsid w:val="48774C9D"/>
    <w:rsid w:val="49A95A85"/>
    <w:rsid w:val="4AA21A3B"/>
    <w:rsid w:val="4ABA50FD"/>
    <w:rsid w:val="4C7154F1"/>
    <w:rsid w:val="4DCC10B4"/>
    <w:rsid w:val="4DCE15CF"/>
    <w:rsid w:val="4FDC1C0B"/>
    <w:rsid w:val="534B7911"/>
    <w:rsid w:val="56D05BF9"/>
    <w:rsid w:val="6441760E"/>
    <w:rsid w:val="671A0C52"/>
    <w:rsid w:val="67A3424A"/>
    <w:rsid w:val="68300002"/>
    <w:rsid w:val="68B25D2D"/>
    <w:rsid w:val="694D661D"/>
    <w:rsid w:val="69FA7BB5"/>
    <w:rsid w:val="6BF92231"/>
    <w:rsid w:val="6D515D66"/>
    <w:rsid w:val="726562B8"/>
    <w:rsid w:val="74884C11"/>
    <w:rsid w:val="76204530"/>
    <w:rsid w:val="77A16285"/>
    <w:rsid w:val="79B17FF1"/>
    <w:rsid w:val="7D1D6E67"/>
    <w:rsid w:val="7ECB4D09"/>
    <w:rsid w:val="7EF9769B"/>
    <w:rsid w:val="7F1D3D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ind w:left="200" w:leftChars="200"/>
    </w:pPr>
    <w:rPr>
      <w:rFonts w:ascii="Times New Roman" w:hAnsi="Times New Roman"/>
    </w:rPr>
  </w:style>
  <w:style w:type="paragraph" w:styleId="4">
    <w:name w:val="Body Text"/>
    <w:basedOn w:val="1"/>
    <w:unhideWhenUsed/>
    <w:qFormat/>
    <w:uiPriority w:val="1"/>
    <w:pPr>
      <w:spacing w:beforeLines="0" w:afterLines="0"/>
    </w:pPr>
    <w:rPr>
      <w:rFonts w:hint="eastAsia"/>
      <w:sz w:val="29"/>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FollowedHyperlink"/>
    <w:basedOn w:val="8"/>
    <w:qFormat/>
    <w:uiPriority w:val="0"/>
    <w:rPr>
      <w:color w:val="555555"/>
      <w:u w:val="none"/>
    </w:rPr>
  </w:style>
  <w:style w:type="character" w:styleId="11">
    <w:name w:val="Emphasis"/>
    <w:basedOn w:val="8"/>
    <w:qFormat/>
    <w:uiPriority w:val="0"/>
  </w:style>
  <w:style w:type="character" w:styleId="12">
    <w:name w:val="Hyperlink"/>
    <w:basedOn w:val="8"/>
    <w:qFormat/>
    <w:uiPriority w:val="0"/>
    <w:rPr>
      <w:color w:val="555555"/>
      <w:u w:val="none"/>
    </w:rPr>
  </w:style>
  <w:style w:type="character" w:customStyle="1" w:styleId="13">
    <w:name w:val="hover31"/>
    <w:basedOn w:val="8"/>
    <w:qFormat/>
    <w:uiPriority w:val="0"/>
    <w:rPr>
      <w:color w:val="00B4F2"/>
    </w:rPr>
  </w:style>
  <w:style w:type="character" w:customStyle="1" w:styleId="14">
    <w:name w:val="layui-this"/>
    <w:basedOn w:val="8"/>
    <w:qFormat/>
    <w:uiPriority w:val="0"/>
    <w:rPr>
      <w:bdr w:val="single" w:color="EEEEEE" w:sz="6" w:space="0"/>
      <w:shd w:val="clear" w:color="auto" w:fill="FFFFFF"/>
    </w:rPr>
  </w:style>
  <w:style w:type="character" w:customStyle="1" w:styleId="15">
    <w:name w:val="first-child"/>
    <w:basedOn w:val="8"/>
    <w:qFormat/>
    <w:uiPriority w:val="0"/>
  </w:style>
  <w:style w:type="character" w:customStyle="1" w:styleId="16">
    <w:name w:val="after"/>
    <w:basedOn w:val="8"/>
    <w:qFormat/>
    <w:uiPriority w:val="0"/>
  </w:style>
  <w:style w:type="character" w:customStyle="1" w:styleId="17">
    <w:name w:val="hover33"/>
    <w:basedOn w:val="8"/>
    <w:qFormat/>
    <w:uiPriority w:val="0"/>
    <w:rPr>
      <w:color w:val="00B4F2"/>
    </w:rPr>
  </w:style>
  <w:style w:type="character" w:customStyle="1" w:styleId="18">
    <w:name w:val="hover32"/>
    <w:basedOn w:val="8"/>
    <w:qFormat/>
    <w:uiPriority w:val="0"/>
    <w:rPr>
      <w:color w:val="00B4F2"/>
    </w:rPr>
  </w:style>
  <w:style w:type="paragraph" w:customStyle="1" w:styleId="19">
    <w:name w:val="index 5"/>
    <w:basedOn w:val="1"/>
    <w:next w:val="1"/>
    <w:qFormat/>
    <w:uiPriority w:val="0"/>
    <w:pPr>
      <w:widowControl w:val="0"/>
      <w:jc w:val="both"/>
    </w:pPr>
    <w:rPr>
      <w:rFonts w:ascii="黑体" w:hAnsi="Times New Roman" w:eastAsia="黑体" w:cs="Arial"/>
      <w:kern w:val="2"/>
      <w:sz w:val="21"/>
      <w:szCs w:val="24"/>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10295</Words>
  <Characters>14146</Characters>
  <Lines>0</Lines>
  <Paragraphs>0</Paragraphs>
  <TotalTime>0</TotalTime>
  <ScaleCrop>false</ScaleCrop>
  <LinksUpToDate>false</LinksUpToDate>
  <CharactersWithSpaces>15651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2020-02-22T11:08:00Z</dcterms:created>
  <dc:creator>Administrator</dc:creator>
  <cp:lastModifiedBy>WPS_1652090215</cp:lastModifiedBy>
  <dcterms:modified xsi:type="dcterms:W3CDTF">2022-12-26T08:55:00Z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05429BF335C94DC29F4DB05AD42B4300</vt:lpwstr>
  </property>
</Properties>
</file>