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sz w:val="44"/>
          <w:szCs w:val="44"/>
        </w:rPr>
      </w:pPr>
      <w:r>
        <w:rPr>
          <w:rFonts w:hint="eastAsia"/>
          <w:sz w:val="44"/>
          <w:szCs w:val="44"/>
        </w:rPr>
        <w:t>咸宁市</w:t>
      </w:r>
      <w:r>
        <w:rPr>
          <w:rFonts w:hint="eastAsia"/>
          <w:sz w:val="44"/>
          <w:szCs w:val="44"/>
          <w:lang w:eastAsia="zh-CN"/>
        </w:rPr>
        <w:t>政监察支队</w:t>
      </w:r>
      <w:r>
        <w:rPr>
          <w:rFonts w:hint="eastAsia"/>
          <w:sz w:val="44"/>
          <w:szCs w:val="44"/>
        </w:rPr>
        <w:t>20</w:t>
      </w:r>
      <w:r>
        <w:rPr>
          <w:rFonts w:hint="eastAsia"/>
          <w:sz w:val="44"/>
          <w:szCs w:val="44"/>
          <w:lang w:val="en-US" w:eastAsia="zh-CN"/>
        </w:rPr>
        <w:t>22</w:t>
      </w:r>
      <w:r>
        <w:rPr>
          <w:rFonts w:hint="eastAsia"/>
          <w:sz w:val="44"/>
          <w:szCs w:val="44"/>
        </w:rPr>
        <w:t>年</w:t>
      </w:r>
    </w:p>
    <w:p>
      <w:pPr>
        <w:pStyle w:val="3"/>
        <w:bidi w:val="0"/>
        <w:jc w:val="center"/>
        <w:rPr>
          <w:rFonts w:hint="eastAsia"/>
          <w:sz w:val="44"/>
          <w:szCs w:val="44"/>
        </w:rPr>
      </w:pPr>
      <w:r>
        <w:rPr>
          <w:rFonts w:hint="eastAsia"/>
          <w:sz w:val="44"/>
          <w:szCs w:val="44"/>
        </w:rPr>
        <w:t>部门预算公开说明</w:t>
      </w:r>
    </w:p>
    <w:p>
      <w:pPr>
        <w:keepNext w:val="0"/>
        <w:keepLines w:val="0"/>
        <w:widowControl/>
        <w:suppressLineNumbers w:val="0"/>
        <w:jc w:val="left"/>
      </w:pPr>
      <w:r>
        <w:rPr>
          <w:rFonts w:ascii="黑体" w:hAnsi="宋体" w:eastAsia="黑体" w:cs="黑体"/>
          <w:color w:val="333333"/>
          <w:kern w:val="0"/>
          <w:sz w:val="28"/>
          <w:szCs w:val="28"/>
          <w:lang w:val="en-US" w:eastAsia="zh-CN" w:bidi="ar"/>
        </w:rPr>
        <w:t xml:space="preserve">目 录 </w:t>
      </w:r>
    </w:p>
    <w:p>
      <w:pPr>
        <w:keepNext w:val="0"/>
        <w:keepLines w:val="0"/>
        <w:widowControl/>
        <w:suppressLineNumbers w:val="0"/>
        <w:jc w:val="left"/>
        <w:rPr>
          <w:rFonts w:ascii="楷体_GB2312" w:hAnsi="宋体" w:eastAsia="楷体_GB2312" w:cs="楷体_GB2312"/>
          <w:color w:val="333333"/>
          <w:kern w:val="0"/>
          <w:sz w:val="28"/>
          <w:szCs w:val="28"/>
          <w:lang w:val="en-US" w:eastAsia="zh-CN" w:bidi="ar"/>
        </w:rPr>
      </w:pPr>
      <w:r>
        <w:rPr>
          <w:rFonts w:ascii="楷体_GB2312" w:hAnsi="宋体" w:eastAsia="楷体_GB2312" w:cs="楷体_GB2312"/>
          <w:color w:val="333333"/>
          <w:kern w:val="0"/>
          <w:sz w:val="28"/>
          <w:szCs w:val="28"/>
          <w:lang w:val="en-US" w:eastAsia="zh-CN" w:bidi="ar"/>
        </w:rPr>
        <w:t xml:space="preserve">第一部分 </w:t>
      </w:r>
      <w:r>
        <w:rPr>
          <w:rFonts w:hint="eastAsia" w:ascii="楷体_GB2312" w:hAnsi="宋体" w:eastAsia="楷体_GB2312" w:cs="楷体_GB2312"/>
          <w:color w:val="333333"/>
          <w:kern w:val="0"/>
          <w:sz w:val="28"/>
          <w:szCs w:val="28"/>
          <w:lang w:val="en-US" w:eastAsia="zh-CN" w:bidi="ar"/>
        </w:rPr>
        <w:t>市政监察支队</w:t>
      </w:r>
      <w:r>
        <w:rPr>
          <w:rFonts w:ascii="楷体_GB2312" w:hAnsi="宋体" w:eastAsia="楷体_GB2312" w:cs="楷体_GB2312"/>
          <w:color w:val="333333"/>
          <w:kern w:val="0"/>
          <w:sz w:val="28"/>
          <w:szCs w:val="28"/>
          <w:lang w:val="en-US" w:eastAsia="zh-CN" w:bidi="ar"/>
        </w:rPr>
        <w:t xml:space="preserve">主要职责及机构设置 </w:t>
      </w:r>
    </w:p>
    <w:p>
      <w:pPr>
        <w:keepNext w:val="0"/>
        <w:keepLines w:val="0"/>
        <w:widowControl/>
        <w:suppressLineNumbers w:val="0"/>
        <w:jc w:val="left"/>
        <w:rPr>
          <w:rFonts w:ascii="楷体_GB2312" w:hAnsi="宋体" w:eastAsia="楷体_GB2312" w:cs="楷体_GB2312"/>
          <w:color w:val="333333"/>
          <w:kern w:val="0"/>
          <w:sz w:val="28"/>
          <w:szCs w:val="28"/>
          <w:lang w:val="en-US" w:eastAsia="zh-CN" w:bidi="ar"/>
        </w:rPr>
      </w:pPr>
      <w:r>
        <w:rPr>
          <w:rFonts w:hint="eastAsia" w:ascii="楷体_GB2312" w:hAnsi="宋体" w:eastAsia="楷体_GB2312" w:cs="楷体_GB2312"/>
          <w:color w:val="333333"/>
          <w:kern w:val="0"/>
          <w:sz w:val="28"/>
          <w:szCs w:val="28"/>
          <w:lang w:val="en-US" w:eastAsia="zh-CN" w:bidi="ar"/>
        </w:rPr>
        <w:t xml:space="preserve">第二部分 市政监察支队2022年主要工作任务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第三部分 市政监察支队2022 年部门预算表 </w:t>
      </w:r>
    </w:p>
    <w:p>
      <w:pPr>
        <w:keepNext w:val="0"/>
        <w:keepLines w:val="0"/>
        <w:widowControl/>
        <w:suppressLineNumbers w:val="0"/>
        <w:jc w:val="left"/>
      </w:pPr>
      <w:r>
        <w:rPr>
          <w:rFonts w:ascii="仿宋_GB2312" w:hAnsi="宋体" w:eastAsia="仿宋_GB2312" w:cs="仿宋_GB2312"/>
          <w:color w:val="333333"/>
          <w:kern w:val="0"/>
          <w:sz w:val="28"/>
          <w:szCs w:val="28"/>
          <w:lang w:val="en-US" w:eastAsia="zh-CN" w:bidi="ar"/>
        </w:rPr>
        <w:t>（一）部门收支</w:t>
      </w:r>
      <w:r>
        <w:rPr>
          <w:rFonts w:hint="eastAsia" w:ascii="仿宋_GB2312" w:hAnsi="宋体" w:eastAsia="仿宋_GB2312" w:cs="仿宋_GB2312"/>
          <w:color w:val="333333"/>
          <w:kern w:val="0"/>
          <w:sz w:val="28"/>
          <w:szCs w:val="28"/>
          <w:lang w:val="en-US" w:eastAsia="zh-CN" w:bidi="ar"/>
        </w:rPr>
        <w:t>预算</w:t>
      </w:r>
      <w:r>
        <w:rPr>
          <w:rFonts w:ascii="仿宋_GB2312" w:hAnsi="宋体" w:eastAsia="仿宋_GB2312" w:cs="仿宋_GB2312"/>
          <w:color w:val="333333"/>
          <w:kern w:val="0"/>
          <w:sz w:val="28"/>
          <w:szCs w:val="28"/>
          <w:lang w:val="en-US" w:eastAsia="zh-CN" w:bidi="ar"/>
        </w:rPr>
        <w:t xml:space="preserve">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（二）部门收入预算总表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（三）部门支出预算总表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（四）财政拨款收支总表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（五）一般公共预算支出表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（六）一般公共预算基本支出表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（七）一般公共预算“三公”经费支出表 </w:t>
      </w:r>
    </w:p>
    <w:p>
      <w:pPr>
        <w:keepNext w:val="0"/>
        <w:keepLines w:val="0"/>
        <w:widowControl/>
        <w:suppressLineNumbers w:val="0"/>
        <w:jc w:val="left"/>
        <w:rPr>
          <w:rFonts w:hint="eastAsia" w:ascii="仿宋_GB2312" w:hAnsi="宋体" w:eastAsia="仿宋_GB2312" w:cs="仿宋_GB2312"/>
          <w:color w:val="333333"/>
          <w:kern w:val="0"/>
          <w:sz w:val="28"/>
          <w:szCs w:val="28"/>
          <w:lang w:val="en-US" w:eastAsia="zh-CN" w:bidi="ar"/>
        </w:rPr>
      </w:pPr>
      <w:r>
        <w:rPr>
          <w:rFonts w:hint="eastAsia" w:ascii="仿宋_GB2312" w:hAnsi="宋体" w:eastAsia="仿宋_GB2312" w:cs="仿宋_GB2312"/>
          <w:color w:val="333333"/>
          <w:kern w:val="0"/>
          <w:sz w:val="28"/>
          <w:szCs w:val="28"/>
          <w:lang w:val="en-US" w:eastAsia="zh-CN" w:bidi="ar"/>
        </w:rPr>
        <w:t>（八）政府性基金预算支出表</w:t>
      </w:r>
    </w:p>
    <w:p>
      <w:pPr>
        <w:pStyle w:val="2"/>
        <w:ind w:left="0" w:leftChars="0" w:firstLine="0" w:firstLineChars="0"/>
      </w:pPr>
      <w:r>
        <w:rPr>
          <w:rFonts w:hint="eastAsia" w:ascii="仿宋_GB2312" w:hAnsi="宋体" w:eastAsia="仿宋_GB2312" w:cs="仿宋_GB2312"/>
          <w:color w:val="333333"/>
          <w:kern w:val="0"/>
          <w:sz w:val="28"/>
          <w:szCs w:val="28"/>
          <w:lang w:val="en-US" w:eastAsia="zh-CN" w:bidi="ar"/>
        </w:rPr>
        <w:t>（九）项目支出表</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第四部分 2022 年部门预算编制情况及说明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（一）预算收支安排及增减变化情况说明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（二）机关运行经费安排及增减变化情况说明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（三）“三公”经费安排及增减变化情况说明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（四）政府采购预算安排及增减变化情况说明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（五）国有资产占用及增减变化情况说明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（六）政府性基金预算支出情况说明 </w:t>
      </w:r>
    </w:p>
    <w:p>
      <w:pPr>
        <w:keepNext w:val="0"/>
        <w:keepLines w:val="0"/>
        <w:widowControl/>
        <w:suppressLineNumbers w:val="0"/>
        <w:jc w:val="left"/>
      </w:pPr>
      <w:r>
        <w:rPr>
          <w:rFonts w:hint="eastAsia" w:ascii="仿宋_GB2312" w:hAnsi="宋体" w:eastAsia="仿宋_GB2312" w:cs="仿宋_GB2312"/>
          <w:color w:val="333333"/>
          <w:kern w:val="0"/>
          <w:sz w:val="28"/>
          <w:szCs w:val="28"/>
          <w:lang w:val="en-US" w:eastAsia="zh-CN" w:bidi="ar"/>
        </w:rPr>
        <w:t xml:space="preserve">（七）2022 年部门预算绩效情况说明 </w:t>
      </w:r>
    </w:p>
    <w:p>
      <w:pPr>
        <w:keepNext w:val="0"/>
        <w:keepLines w:val="0"/>
        <w:widowControl/>
        <w:suppressLineNumbers w:val="0"/>
        <w:jc w:val="left"/>
      </w:pPr>
      <w:r>
        <w:rPr>
          <w:rFonts w:hint="eastAsia" w:ascii="楷体_GB2312" w:hAnsi="宋体" w:eastAsia="楷体_GB2312" w:cs="楷体_GB2312"/>
          <w:color w:val="333333"/>
          <w:kern w:val="0"/>
          <w:sz w:val="28"/>
          <w:szCs w:val="28"/>
          <w:lang w:val="en-US" w:eastAsia="zh-CN" w:bidi="ar"/>
        </w:rPr>
        <w:t xml:space="preserve">第五部分 名词解释 </w:t>
      </w:r>
    </w:p>
    <w:p>
      <w:pPr>
        <w:keepNext w:val="0"/>
        <w:keepLines w:val="0"/>
        <w:widowControl/>
        <w:suppressLineNumbers w:val="0"/>
        <w:jc w:val="left"/>
        <w:rPr>
          <w:rFonts w:hint="eastAsia" w:ascii="仿宋_GB2312" w:hAnsi="仿宋_GB2312" w:eastAsia="仿宋_GB2312" w:cs="仿宋_GB2312"/>
          <w:b/>
          <w:bCs w:val="0"/>
          <w:snapToGrid w:val="0"/>
          <w:color w:val="auto"/>
          <w:kern w:val="0"/>
          <w:sz w:val="32"/>
          <w:szCs w:val="32"/>
          <w:lang w:val="en-US" w:eastAsia="zh-CN" w:bidi="ar-SA"/>
        </w:rPr>
      </w:pPr>
      <w:r>
        <w:rPr>
          <w:rFonts w:hint="eastAsia" w:ascii="仿宋_GB2312" w:hAnsi="仿宋_GB2312" w:eastAsia="仿宋_GB2312" w:cs="仿宋_GB2312"/>
          <w:b/>
          <w:bCs w:val="0"/>
          <w:snapToGrid w:val="0"/>
          <w:color w:val="auto"/>
          <w:kern w:val="0"/>
          <w:sz w:val="32"/>
          <w:szCs w:val="32"/>
          <w:lang w:val="en-US" w:eastAsia="zh-CN" w:bidi="ar-SA"/>
        </w:rPr>
        <w:t xml:space="preserve">第一部分 市政监察支队主要职责及机构设置 </w:t>
      </w:r>
    </w:p>
    <w:p>
      <w:pPr>
        <w:pStyle w:val="3"/>
        <w:bidi w:val="0"/>
        <w:ind w:left="0" w:leftChars="0" w:firstLine="640" w:firstLineChars="200"/>
        <w:rPr>
          <w:rFonts w:hint="eastAsia" w:ascii="仿宋_GB2312" w:hAnsi="宋体" w:eastAsia="仿宋_GB2312" w:cs="仿宋_GB2312"/>
          <w:color w:val="333333"/>
          <w:kern w:val="0"/>
          <w:sz w:val="32"/>
          <w:szCs w:val="32"/>
          <w:lang w:val="en-US" w:eastAsia="zh-CN" w:bidi="ar"/>
        </w:rPr>
      </w:pPr>
      <w:r>
        <w:rPr>
          <w:rFonts w:hint="eastAsia" w:ascii="仿宋_GB2312" w:hAnsi="宋体" w:eastAsia="仿宋_GB2312" w:cs="仿宋_GB2312"/>
          <w:color w:val="333333"/>
          <w:kern w:val="0"/>
          <w:sz w:val="32"/>
          <w:szCs w:val="32"/>
          <w:lang w:val="en-US" w:eastAsia="zh-CN" w:bidi="ar"/>
        </w:rPr>
        <w:t>（一）市水政监察支队主要职责</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1、宣传贯彻《中华人民共和国水法》、《中华人民共和国水土保持法》、《中华人民共和国防洪法》等水法规；</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2、负责辖区内河道采砂监督管理工作，依法严厉打击非法采砂。</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3、保护水资源、水域、水工程、水土保持生态环境、防汛抗旱和水文监测等有关设施；</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4、对水事活动进行监督检查，维护正常的水事秩序。对公民、法人或其他组织违反水法规的行为实施行政处罚或者采取其他行政措施；</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5、配合和协助公安和司法部门查处水事治安和刑事案件；</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6、对下级水政监察队伍进行指导和监督；</w:t>
      </w:r>
    </w:p>
    <w:p>
      <w:pPr>
        <w:keepNext w:val="0"/>
        <w:keepLines w:val="0"/>
        <w:widowControl/>
        <w:suppressLineNumbers w:val="0"/>
        <w:ind w:firstLine="640" w:firstLineChars="200"/>
        <w:jc w:val="left"/>
        <w:rPr>
          <w:rFonts w:hint="default" w:ascii="仿宋_GB2312" w:hAnsi="宋体" w:eastAsia="仿宋_GB2312" w:cs="仿宋_GB2312"/>
          <w:color w:val="333333"/>
          <w:kern w:val="0"/>
          <w:sz w:val="32"/>
          <w:szCs w:val="32"/>
          <w:lang w:val="en-US" w:eastAsia="zh-CN" w:bidi="ar"/>
        </w:rPr>
      </w:pPr>
      <w:r>
        <w:rPr>
          <w:rFonts w:hint="default" w:ascii="仿宋_GB2312" w:hAnsi="宋体" w:eastAsia="仿宋_GB2312" w:cs="仿宋_GB2312"/>
          <w:color w:val="333333"/>
          <w:kern w:val="0"/>
          <w:sz w:val="32"/>
          <w:szCs w:val="32"/>
          <w:lang w:val="en-US" w:eastAsia="zh-CN" w:bidi="ar"/>
        </w:rPr>
        <w:t>7、征收行政事业性规费等有关事宜。</w:t>
      </w:r>
    </w:p>
    <w:p>
      <w:pPr>
        <w:pStyle w:val="3"/>
        <w:keepNext w:val="0"/>
        <w:keepLines w:val="0"/>
        <w:pageBreakBefore w:val="0"/>
        <w:kinsoku/>
        <w:wordWrap/>
        <w:overflowPunct/>
        <w:topLinePunct w:val="0"/>
        <w:autoSpaceDE/>
        <w:autoSpaceDN/>
        <w:bidi w:val="0"/>
        <w:adjustRightInd/>
        <w:snapToGrid/>
        <w:spacing w:line="240" w:lineRule="auto"/>
        <w:ind w:firstLine="320" w:firstLineChars="100"/>
        <w:textAlignment w:val="auto"/>
        <w:rPr>
          <w:rFonts w:hint="eastAsia" w:ascii="仿宋_GB2312" w:hAnsi="Calibri" w:eastAsia="仿宋_GB2312" w:cs="Times New Roman"/>
          <w:b/>
          <w:bCs/>
          <w:color w:val="auto"/>
          <w:kern w:val="2"/>
          <w:sz w:val="32"/>
          <w:szCs w:val="32"/>
          <w:lang w:val="en-US" w:eastAsia="zh-CN" w:bidi="ar-SA"/>
        </w:rPr>
      </w:pPr>
      <w:r>
        <w:rPr>
          <w:rFonts w:hint="eastAsia" w:ascii="仿宋_GB2312" w:hAnsi="Calibri" w:eastAsia="仿宋_GB2312" w:cs="Times New Roman"/>
          <w:b w:val="0"/>
          <w:bCs w:val="0"/>
          <w:color w:val="auto"/>
          <w:kern w:val="2"/>
          <w:sz w:val="32"/>
          <w:szCs w:val="32"/>
          <w:lang w:val="en-US" w:eastAsia="zh-CN" w:bidi="ar-SA"/>
        </w:rPr>
        <w:t>（二）机构设置</w:t>
      </w:r>
    </w:p>
    <w:p>
      <w:pPr>
        <w:pStyle w:val="3"/>
        <w:keepNext w:val="0"/>
        <w:keepLines w:val="0"/>
        <w:pageBreakBefore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hAnsi="Calibri" w:eastAsia="仿宋_GB2312" w:cs="Times New Roman"/>
          <w:color w:val="auto"/>
          <w:kern w:val="2"/>
          <w:sz w:val="32"/>
          <w:szCs w:val="32"/>
          <w:lang w:val="en-US" w:eastAsia="zh-CN" w:bidi="ar-SA"/>
        </w:rPr>
      </w:pPr>
      <w:r>
        <w:rPr>
          <w:rFonts w:hint="default" w:ascii="仿宋_GB2312" w:hAnsi="Calibri" w:eastAsia="仿宋_GB2312" w:cs="Times New Roman"/>
          <w:color w:val="auto"/>
          <w:kern w:val="2"/>
          <w:sz w:val="32"/>
          <w:szCs w:val="32"/>
          <w:lang w:val="en-US" w:eastAsia="zh-CN" w:bidi="ar-SA"/>
        </w:rPr>
        <w:t>我单位属参照公务员管理的</w:t>
      </w:r>
      <w:r>
        <w:rPr>
          <w:rFonts w:hint="eastAsia" w:ascii="仿宋_GB2312" w:hAnsi="Calibri" w:eastAsia="仿宋_GB2312" w:cs="Times New Roman"/>
          <w:color w:val="auto"/>
          <w:kern w:val="2"/>
          <w:sz w:val="32"/>
          <w:szCs w:val="32"/>
          <w:lang w:val="en-US" w:eastAsia="zh-CN" w:bidi="ar-SA"/>
        </w:rPr>
        <w:t>正科级</w:t>
      </w:r>
      <w:r>
        <w:rPr>
          <w:rFonts w:hint="default" w:ascii="仿宋_GB2312" w:hAnsi="Calibri" w:eastAsia="仿宋_GB2312" w:cs="Times New Roman"/>
          <w:color w:val="auto"/>
          <w:kern w:val="2"/>
          <w:sz w:val="32"/>
          <w:szCs w:val="32"/>
          <w:lang w:val="en-US" w:eastAsia="zh-CN" w:bidi="ar-SA"/>
        </w:rPr>
        <w:t>事业单位，编制13人，实有在职干部职工</w:t>
      </w:r>
      <w:r>
        <w:rPr>
          <w:rFonts w:hint="eastAsia" w:ascii="仿宋_GB2312" w:hAnsi="Calibri" w:eastAsia="仿宋_GB2312" w:cs="Times New Roman"/>
          <w:color w:val="auto"/>
          <w:kern w:val="2"/>
          <w:sz w:val="32"/>
          <w:szCs w:val="32"/>
          <w:lang w:val="en-US" w:eastAsia="zh-CN" w:bidi="ar-SA"/>
        </w:rPr>
        <w:t>7</w:t>
      </w:r>
      <w:r>
        <w:rPr>
          <w:rFonts w:hint="default" w:ascii="仿宋_GB2312" w:hAnsi="Calibri" w:eastAsia="仿宋_GB2312" w:cs="Times New Roman"/>
          <w:color w:val="auto"/>
          <w:kern w:val="2"/>
          <w:sz w:val="32"/>
          <w:szCs w:val="32"/>
          <w:lang w:val="en-US" w:eastAsia="zh-CN" w:bidi="ar-SA"/>
        </w:rPr>
        <w:t>人，退休</w:t>
      </w:r>
      <w:r>
        <w:rPr>
          <w:rFonts w:hint="eastAsia" w:ascii="仿宋_GB2312" w:hAnsi="Calibri" w:eastAsia="仿宋_GB2312" w:cs="Times New Roman"/>
          <w:color w:val="auto"/>
          <w:kern w:val="2"/>
          <w:sz w:val="32"/>
          <w:szCs w:val="32"/>
          <w:lang w:val="en-US" w:eastAsia="zh-CN" w:bidi="ar-SA"/>
        </w:rPr>
        <w:t>9</w:t>
      </w:r>
      <w:r>
        <w:rPr>
          <w:rFonts w:hint="default" w:ascii="仿宋_GB2312" w:hAnsi="Calibri" w:eastAsia="仿宋_GB2312" w:cs="Times New Roman"/>
          <w:color w:val="auto"/>
          <w:kern w:val="2"/>
          <w:sz w:val="32"/>
          <w:szCs w:val="32"/>
          <w:lang w:val="en-US" w:eastAsia="zh-CN" w:bidi="ar-SA"/>
        </w:rPr>
        <w:t>人。</w:t>
      </w:r>
      <w:r>
        <w:rPr>
          <w:rFonts w:hint="eastAsia" w:ascii="仿宋_GB2312" w:hAnsi="Calibri" w:eastAsia="仿宋_GB2312" w:cs="Times New Roman"/>
          <w:color w:val="auto"/>
          <w:kern w:val="2"/>
          <w:sz w:val="32"/>
          <w:szCs w:val="32"/>
          <w:lang w:val="en-US" w:eastAsia="zh-CN" w:bidi="ar-SA"/>
        </w:rPr>
        <w:t>设3个</w:t>
      </w:r>
      <w:r>
        <w:rPr>
          <w:rFonts w:hint="default" w:ascii="仿宋_GB2312" w:hAnsi="Calibri" w:eastAsia="仿宋_GB2312" w:cs="Times New Roman"/>
          <w:color w:val="auto"/>
          <w:kern w:val="2"/>
          <w:sz w:val="32"/>
          <w:szCs w:val="32"/>
          <w:lang w:val="en-US" w:eastAsia="zh-CN" w:bidi="ar-SA"/>
        </w:rPr>
        <w:t>内设</w:t>
      </w:r>
      <w:r>
        <w:rPr>
          <w:rFonts w:hint="eastAsia" w:ascii="仿宋_GB2312" w:hAnsi="Calibri" w:eastAsia="仿宋_GB2312" w:cs="Times New Roman"/>
          <w:color w:val="auto"/>
          <w:kern w:val="2"/>
          <w:sz w:val="32"/>
          <w:szCs w:val="32"/>
          <w:lang w:val="en-US" w:eastAsia="zh-CN" w:bidi="ar-SA"/>
        </w:rPr>
        <w:t>机构，分别为</w:t>
      </w:r>
      <w:r>
        <w:rPr>
          <w:rFonts w:hint="default" w:ascii="仿宋_GB2312" w:hAnsi="Calibri" w:eastAsia="仿宋_GB2312" w:cs="Times New Roman"/>
          <w:color w:val="auto"/>
          <w:kern w:val="2"/>
          <w:sz w:val="32"/>
          <w:szCs w:val="32"/>
          <w:lang w:val="en-US" w:eastAsia="zh-CN" w:bidi="ar-SA"/>
        </w:rPr>
        <w:t>办公室、执法室</w:t>
      </w:r>
      <w:r>
        <w:rPr>
          <w:rFonts w:hint="eastAsia" w:ascii="仿宋_GB2312" w:hAnsi="Calibri" w:eastAsia="仿宋_GB2312" w:cs="Times New Roman"/>
          <w:color w:val="auto"/>
          <w:kern w:val="2"/>
          <w:sz w:val="32"/>
          <w:szCs w:val="32"/>
          <w:lang w:val="en-US" w:eastAsia="zh-CN" w:bidi="ar-SA"/>
        </w:rPr>
        <w:t>及</w:t>
      </w:r>
      <w:r>
        <w:rPr>
          <w:rFonts w:hint="default" w:ascii="仿宋_GB2312" w:hAnsi="Calibri" w:eastAsia="仿宋_GB2312" w:cs="Times New Roman"/>
          <w:color w:val="auto"/>
          <w:kern w:val="2"/>
          <w:sz w:val="32"/>
          <w:szCs w:val="32"/>
          <w:lang w:val="en-US" w:eastAsia="zh-CN" w:bidi="ar-SA"/>
        </w:rPr>
        <w:t>财务室。</w:t>
      </w:r>
    </w:p>
    <w:p>
      <w:pPr>
        <w:pStyle w:val="3"/>
        <w:keepNext w:val="0"/>
        <w:keepLines w:val="0"/>
        <w:pageBreakBefore w:val="0"/>
        <w:numPr>
          <w:ilvl w:val="0"/>
          <w:numId w:val="1"/>
        </w:numPr>
        <w:kinsoku/>
        <w:wordWrap/>
        <w:overflowPunct/>
        <w:topLinePunct w:val="0"/>
        <w:autoSpaceDE/>
        <w:autoSpaceDN/>
        <w:bidi w:val="0"/>
        <w:adjustRightInd/>
        <w:snapToGrid/>
        <w:spacing w:line="240" w:lineRule="auto"/>
        <w:textAlignment w:val="auto"/>
        <w:rPr>
          <w:rFonts w:hint="eastAsia" w:ascii="仿宋_GB2312" w:hAnsi="Calibri" w:eastAsia="仿宋_GB2312" w:cs="Times New Roman"/>
          <w:b/>
          <w:bCs/>
          <w:color w:val="auto"/>
          <w:kern w:val="2"/>
          <w:sz w:val="32"/>
          <w:szCs w:val="32"/>
          <w:lang w:val="en-US" w:eastAsia="zh-CN" w:bidi="ar-SA"/>
        </w:rPr>
      </w:pPr>
      <w:r>
        <w:rPr>
          <w:rFonts w:hint="eastAsia" w:ascii="仿宋_GB2312" w:hAnsi="Calibri" w:eastAsia="仿宋_GB2312" w:cs="Times New Roman"/>
          <w:b/>
          <w:bCs/>
          <w:color w:val="auto"/>
          <w:kern w:val="2"/>
          <w:sz w:val="32"/>
          <w:szCs w:val="32"/>
          <w:lang w:val="en-US" w:eastAsia="zh-CN" w:bidi="ar-SA"/>
        </w:rPr>
        <w:t>年度主要工作任务及目标</w:t>
      </w:r>
    </w:p>
    <w:p>
      <w:pPr>
        <w:pStyle w:val="3"/>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（一）全力抓好水事违法案件防查工作。</w:t>
      </w:r>
    </w:p>
    <w:p>
      <w:pPr>
        <w:pStyle w:val="3"/>
        <w:keepNext w:val="0"/>
        <w:keepLines w:val="0"/>
        <w:pageBreakBefore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（二）督促指导加大打击非法采砂力度。</w:t>
      </w:r>
    </w:p>
    <w:p>
      <w:pPr>
        <w:pStyle w:val="3"/>
        <w:keepNext w:val="0"/>
        <w:keepLines w:val="0"/>
        <w:pageBreakBefore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（三）全力推进鄂东南联合执法行动。</w:t>
      </w:r>
    </w:p>
    <w:p>
      <w:pPr>
        <w:pStyle w:val="3"/>
        <w:keepNext w:val="0"/>
        <w:keepLines w:val="0"/>
        <w:pageBreakBefore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（四）全面做好规费征收工作。</w:t>
      </w:r>
    </w:p>
    <w:p>
      <w:pPr>
        <w:pStyle w:val="3"/>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（五）扎实做好县级指导及案评工作。</w:t>
      </w:r>
    </w:p>
    <w:p>
      <w:pPr>
        <w:pStyle w:val="3"/>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（六）积极开展法规宣传及信息报送。</w:t>
      </w:r>
    </w:p>
    <w:p>
      <w:pPr>
        <w:pStyle w:val="3"/>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Calibri" w:eastAsia="仿宋_GB2312" w:cs="Times New Roman"/>
          <w:b w:val="0"/>
          <w:bCs w:val="0"/>
          <w:color w:val="auto"/>
          <w:kern w:val="2"/>
          <w:sz w:val="32"/>
          <w:szCs w:val="32"/>
          <w:lang w:val="en-US" w:eastAsia="zh-CN" w:bidi="ar-SA"/>
        </w:rPr>
      </w:pPr>
      <w:r>
        <w:rPr>
          <w:rFonts w:hint="default" w:ascii="仿宋_GB2312" w:hAnsi="Calibri" w:eastAsia="仿宋_GB2312" w:cs="Times New Roman"/>
          <w:b w:val="0"/>
          <w:bCs w:val="0"/>
          <w:color w:val="auto"/>
          <w:kern w:val="2"/>
          <w:sz w:val="32"/>
          <w:szCs w:val="32"/>
          <w:lang w:val="en-US" w:eastAsia="zh-CN" w:bidi="ar-SA"/>
        </w:rPr>
        <w:t>（七）完成市水</w:t>
      </w:r>
      <w:r>
        <w:rPr>
          <w:rFonts w:hint="eastAsia" w:ascii="仿宋_GB2312" w:hAnsi="Calibri" w:eastAsia="仿宋_GB2312" w:cs="Times New Roman"/>
          <w:b w:val="0"/>
          <w:bCs w:val="0"/>
          <w:color w:val="auto"/>
          <w:kern w:val="2"/>
          <w:sz w:val="32"/>
          <w:szCs w:val="32"/>
          <w:lang w:val="en-US" w:eastAsia="zh-CN" w:bidi="ar-SA"/>
        </w:rPr>
        <w:t>利和湖泊局</w:t>
      </w:r>
      <w:r>
        <w:rPr>
          <w:rFonts w:hint="default" w:ascii="仿宋_GB2312" w:hAnsi="Calibri" w:eastAsia="仿宋_GB2312" w:cs="Times New Roman"/>
          <w:b w:val="0"/>
          <w:bCs w:val="0"/>
          <w:color w:val="auto"/>
          <w:kern w:val="2"/>
          <w:sz w:val="32"/>
          <w:szCs w:val="32"/>
          <w:lang w:val="en-US" w:eastAsia="zh-CN" w:bidi="ar-SA"/>
        </w:rPr>
        <w:t>交办的其它工作。</w:t>
      </w: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仿宋_GB2312" w:hAnsi="仿宋_GB2312" w:eastAsia="仿宋_GB2312" w:cs="仿宋_GB2312"/>
          <w:b/>
          <w:bCs/>
          <w:color w:val="auto"/>
          <w:kern w:val="2"/>
          <w:sz w:val="32"/>
          <w:szCs w:val="32"/>
          <w:lang w:val="en-US" w:eastAsia="zh-CN" w:bidi="ar-SA"/>
        </w:rPr>
      </w:pP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楷体" w:hAnsi="楷体" w:eastAsia="楷体" w:cs="楷体"/>
          <w:b/>
          <w:bCs/>
          <w:color w:val="auto"/>
          <w:kern w:val="2"/>
          <w:sz w:val="32"/>
          <w:szCs w:val="32"/>
          <w:lang w:val="en-US" w:eastAsia="zh-CN" w:bidi="ar-SA"/>
        </w:rPr>
      </w:pP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楷体" w:hAnsi="楷体" w:eastAsia="楷体" w:cs="楷体"/>
          <w:b/>
          <w:bCs/>
          <w:color w:val="auto"/>
          <w:kern w:val="2"/>
          <w:sz w:val="32"/>
          <w:szCs w:val="32"/>
          <w:lang w:val="en-US" w:eastAsia="zh-CN" w:bidi="ar-SA"/>
        </w:rPr>
      </w:pP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楷体" w:hAnsi="楷体" w:eastAsia="楷体" w:cs="楷体"/>
          <w:b/>
          <w:bCs/>
          <w:color w:val="auto"/>
          <w:kern w:val="2"/>
          <w:sz w:val="32"/>
          <w:szCs w:val="32"/>
          <w:lang w:val="en-US" w:eastAsia="zh-CN" w:bidi="ar-SA"/>
        </w:rPr>
      </w:pPr>
    </w:p>
    <w:p>
      <w:pPr>
        <w:keepNext w:val="0"/>
        <w:keepLines w:val="0"/>
        <w:pageBreakBefore w:val="0"/>
        <w:widowControl w:val="0"/>
        <w:kinsoku/>
        <w:wordWrap/>
        <w:overflowPunct/>
        <w:topLinePunct w:val="0"/>
        <w:autoSpaceDE/>
        <w:autoSpaceDN w:val="0"/>
        <w:bidi w:val="0"/>
        <w:adjustRightInd/>
        <w:spacing w:line="560" w:lineRule="exact"/>
        <w:jc w:val="left"/>
        <w:textAlignment w:val="auto"/>
        <w:outlineLvl w:val="9"/>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 xml:space="preserve">第三部分 市水政监察支队 2022 年部门预算表 </w:t>
      </w:r>
    </w:p>
    <w:p>
      <w:pPr>
        <w:rPr>
          <w:rFonts w:hint="eastAsia"/>
        </w:rPr>
      </w:pPr>
    </w:p>
    <w:tbl>
      <w:tblPr>
        <w:tblStyle w:val="6"/>
        <w:tblW w:w="99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6"/>
        <w:gridCol w:w="1350"/>
        <w:gridCol w:w="3480"/>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90"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135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48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410"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4"/>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0" w:type="auto"/>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一、基本保障支出</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201.87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194.23</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人员经费支出</w:t>
            </w:r>
          </w:p>
        </w:tc>
        <w:tc>
          <w:tcPr>
            <w:tcW w:w="1410"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 xml:space="preserve">     182.88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经费拨款（补助）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154.23</w:t>
            </w: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纳入预算管理的非税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40</w:t>
            </w: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1410" w:type="dxa"/>
            <w:tcBorders>
              <w:top w:val="nil"/>
              <w:left w:val="single" w:color="000000" w:sz="4" w:space="0"/>
              <w:bottom w:val="nil"/>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经常性项目</w:t>
            </w:r>
          </w:p>
        </w:tc>
        <w:tc>
          <w:tcPr>
            <w:tcW w:w="141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一般债券</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当年一次性项目</w:t>
            </w:r>
          </w:p>
        </w:tc>
        <w:tc>
          <w:tcPr>
            <w:tcW w:w="141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跨年一次性项目</w:t>
            </w:r>
          </w:p>
        </w:tc>
        <w:tc>
          <w:tcPr>
            <w:tcW w:w="141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141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141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专项债券</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141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三、社保基金拨款</w:t>
            </w:r>
          </w:p>
        </w:tc>
        <w:tc>
          <w:tcPr>
            <w:tcW w:w="135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49.64</w:t>
            </w:r>
          </w:p>
        </w:tc>
        <w:tc>
          <w:tcPr>
            <w:tcW w:w="0" w:type="auto"/>
            <w:tcBorders>
              <w:top w:val="single" w:color="000000" w:sz="4" w:space="0"/>
              <w:left w:val="nil"/>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四、国有资本经营预算拨款</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nil"/>
            </w:tcBorders>
            <w:noWrap/>
            <w:vAlign w:val="center"/>
          </w:tcPr>
          <w:p>
            <w:pPr>
              <w:rPr>
                <w:rFonts w:hint="eastAsia" w:ascii="宋体" w:hAnsi="宋体" w:eastAsia="宋体" w:cs="宋体"/>
                <w:i w:val="0"/>
                <w:iCs w:val="0"/>
                <w:color w:val="000000"/>
                <w:sz w:val="20"/>
                <w:szCs w:val="20"/>
                <w:u w:val="none"/>
              </w:rPr>
            </w:pPr>
          </w:p>
        </w:tc>
        <w:tc>
          <w:tcPr>
            <w:tcW w:w="1410" w:type="dxa"/>
            <w:tcBorders>
              <w:top w:val="nil"/>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五、纳入专户管理的非税收入</w:t>
            </w:r>
          </w:p>
        </w:tc>
        <w:tc>
          <w:tcPr>
            <w:tcW w:w="1350" w:type="dxa"/>
            <w:tcBorders>
              <w:top w:val="nil"/>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nil"/>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六、事业收入</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七、事业单位经营收入</w:t>
            </w:r>
          </w:p>
        </w:tc>
        <w:tc>
          <w:tcPr>
            <w:tcW w:w="1350" w:type="dxa"/>
            <w:tcBorders>
              <w:top w:val="nil"/>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八、附属单位上缴收入</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九、往来收入</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十、其他收入</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十一、融资借款</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350" w:type="dxa"/>
            <w:tcBorders>
              <w:top w:val="nil"/>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243.87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243.87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八、上年结余（转）</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结转下年</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公共预算结转</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政府基金结转</w:t>
            </w:r>
          </w:p>
        </w:tc>
        <w:tc>
          <w:tcPr>
            <w:tcW w:w="1350" w:type="dxa"/>
            <w:tcBorders>
              <w:top w:val="single" w:color="000000" w:sz="4" w:space="0"/>
              <w:left w:val="single" w:color="000000" w:sz="4" w:space="0"/>
              <w:bottom w:val="nil"/>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其他结余</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nil"/>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350" w:type="dxa"/>
            <w:tcBorders>
              <w:top w:val="nil"/>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243.87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243.87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备注：本表收支包含社保基金发放退休人员的退休金</w:t>
            </w:r>
          </w:p>
        </w:tc>
        <w:tc>
          <w:tcPr>
            <w:tcW w:w="0" w:type="auto"/>
            <w:tcBorders>
              <w:top w:val="nil"/>
              <w:left w:val="nil"/>
              <w:bottom w:val="nil"/>
              <w:right w:val="nil"/>
            </w:tcBorders>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noWrap/>
            <w:vAlign w:val="bottom"/>
          </w:tcPr>
          <w:p>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noWrap/>
            <w:vAlign w:val="bottom"/>
          </w:tcPr>
          <w:p>
            <w:pPr>
              <w:rPr>
                <w:rFonts w:hint="eastAsia" w:ascii="宋体" w:hAnsi="宋体" w:eastAsia="宋体" w:cs="宋体"/>
                <w:i w:val="0"/>
                <w:iCs w:val="0"/>
                <w:color w:val="000000"/>
                <w:sz w:val="20"/>
                <w:szCs w:val="20"/>
                <w:u w:val="none"/>
              </w:rPr>
            </w:pPr>
          </w:p>
        </w:tc>
      </w:tr>
    </w:tbl>
    <w:p>
      <w:pPr>
        <w:pStyle w:val="2"/>
        <w:ind w:left="0" w:leftChars="0" w:firstLine="0" w:firstLineChars="0"/>
        <w:rPr>
          <w:rFonts w:hint="eastAsia"/>
        </w:rPr>
      </w:pPr>
    </w:p>
    <w:p>
      <w:pPr>
        <w:rPr>
          <w:rFonts w:hint="eastAsia"/>
        </w:rPr>
      </w:pPr>
    </w:p>
    <w:p>
      <w:pPr>
        <w:rPr>
          <w:rFonts w:hint="eastAsia"/>
        </w:rPr>
      </w:pPr>
    </w:p>
    <w:p>
      <w:pPr>
        <w:rPr>
          <w:rFonts w:hint="eastAsia"/>
        </w:rPr>
      </w:pPr>
    </w:p>
    <w:tbl>
      <w:tblPr>
        <w:tblStyle w:val="6"/>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1"/>
        <w:gridCol w:w="745"/>
        <w:gridCol w:w="806"/>
        <w:gridCol w:w="541"/>
        <w:gridCol w:w="542"/>
        <w:gridCol w:w="542"/>
        <w:gridCol w:w="542"/>
        <w:gridCol w:w="807"/>
        <w:gridCol w:w="1013"/>
        <w:gridCol w:w="849"/>
        <w:gridCol w:w="394"/>
        <w:gridCol w:w="394"/>
        <w:gridCol w:w="394"/>
        <w:gridCol w:w="394"/>
        <w:gridCol w:w="394"/>
        <w:gridCol w:w="394"/>
        <w:gridCol w:w="724"/>
        <w:gridCol w:w="394"/>
        <w:gridCol w:w="394"/>
        <w:gridCol w:w="394"/>
        <w:gridCol w:w="394"/>
        <w:gridCol w:w="394"/>
        <w:gridCol w:w="395"/>
        <w:gridCol w:w="443"/>
        <w:gridCol w:w="1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5"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74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8"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2"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1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5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2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jc w:val="right"/>
              <w:rPr>
                <w:rFonts w:hint="eastAsia" w:ascii="宋体" w:hAnsi="宋体" w:eastAsia="宋体" w:cs="宋体"/>
                <w:i w:val="0"/>
                <w:iCs w:val="0"/>
                <w:color w:val="000000"/>
                <w:sz w:val="18"/>
                <w:szCs w:val="18"/>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443" w:type="dxa"/>
            <w:tcBorders>
              <w:top w:val="nil"/>
              <w:left w:val="nil"/>
              <w:bottom w:val="nil"/>
              <w:right w:val="nil"/>
            </w:tcBorders>
            <w:noWrap/>
            <w:vAlign w:val="bottom"/>
          </w:tcPr>
          <w:p>
            <w:pPr>
              <w:rPr>
                <w:rFonts w:hint="default"/>
              </w:rPr>
            </w:pPr>
          </w:p>
          <w:p>
            <w:pPr>
              <w:pStyle w:val="2"/>
              <w:rPr>
                <w:rFonts w:hint="default"/>
              </w:rPr>
            </w:pPr>
          </w:p>
          <w:p>
            <w:pPr>
              <w:rPr>
                <w:rFonts w:hint="default"/>
              </w:rPr>
            </w:pPr>
          </w:p>
          <w:p>
            <w:pPr>
              <w:pStyle w:val="2"/>
              <w:rPr>
                <w:rFonts w:hint="default"/>
              </w:rPr>
            </w:pPr>
          </w:p>
          <w:p>
            <w:pPr>
              <w:rPr>
                <w:rFonts w:hint="default"/>
              </w:rPr>
            </w:pPr>
          </w:p>
        </w:tc>
        <w:tc>
          <w:tcPr>
            <w:tcW w:w="1049"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44"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12"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48"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2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44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4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预算02表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4081" w:type="dxa"/>
            <w:gridSpan w:val="25"/>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部门收入预算总表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44"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1"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0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12"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48"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2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jc w:val="righ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44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49"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45" w:type="dxa"/>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747" w:type="dxa"/>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80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16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上年结余（转）</w:t>
            </w:r>
          </w:p>
        </w:tc>
        <w:tc>
          <w:tcPr>
            <w:tcW w:w="3456"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w:t>
            </w:r>
          </w:p>
        </w:tc>
        <w:tc>
          <w:tcPr>
            <w:tcW w:w="158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w:t>
            </w:r>
          </w:p>
        </w:tc>
        <w:tc>
          <w:tcPr>
            <w:tcW w:w="726" w:type="dxa"/>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社保基金</w:t>
            </w:r>
          </w:p>
        </w:tc>
        <w:tc>
          <w:tcPr>
            <w:tcW w:w="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w:t>
            </w:r>
          </w:p>
        </w:tc>
        <w:tc>
          <w:tcPr>
            <w:tcW w:w="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纳入专户管理的非税</w:t>
            </w:r>
          </w:p>
        </w:tc>
        <w:tc>
          <w:tcPr>
            <w:tcW w:w="393" w:type="dxa"/>
            <w:vMerge w:val="restart"/>
            <w:tcBorders>
              <w:top w:val="single" w:color="000000" w:sz="4" w:space="0"/>
              <w:left w:val="nil"/>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393" w:type="dxa"/>
            <w:vMerge w:val="restart"/>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事业单位经营收入</w:t>
            </w:r>
          </w:p>
        </w:tc>
        <w:tc>
          <w:tcPr>
            <w:tcW w:w="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往来收入</w:t>
            </w:r>
          </w:p>
        </w:tc>
        <w:tc>
          <w:tcPr>
            <w:tcW w:w="44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104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融资借款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745" w:type="dxa"/>
            <w:vMerge w:val="continue"/>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18"/>
                <w:szCs w:val="18"/>
                <w:u w:val="none"/>
              </w:rPr>
            </w:pPr>
          </w:p>
        </w:tc>
        <w:tc>
          <w:tcPr>
            <w:tcW w:w="747" w:type="dxa"/>
            <w:vMerge w:val="continue"/>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18"/>
                <w:szCs w:val="18"/>
                <w:u w:val="none"/>
              </w:rPr>
            </w:pPr>
          </w:p>
        </w:tc>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公共预算结转</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政府性基金结转</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其他结余</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经费拨款（补助）</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纳入预算管理的非税</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一般债券</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本级基金</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上级基金</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专项债券</w:t>
            </w:r>
          </w:p>
        </w:tc>
        <w:tc>
          <w:tcPr>
            <w:tcW w:w="726" w:type="dxa"/>
            <w:vMerge w:val="continue"/>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nil"/>
              <w:bottom w:val="single" w:color="000000" w:sz="4" w:space="0"/>
              <w:right w:val="nil"/>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4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04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45"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47"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08"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726"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93"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3"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9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9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9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9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44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049"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b/>
                <w:bCs/>
                <w:i w:val="0"/>
                <w:iCs w:val="0"/>
                <w:color w:val="000000"/>
                <w:sz w:val="18"/>
                <w:szCs w:val="18"/>
                <w:u w:val="none"/>
              </w:rPr>
            </w:pPr>
          </w:p>
        </w:tc>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243.87</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194.23</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154.23</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40.00</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49.64</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4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c>
          <w:tcPr>
            <w:tcW w:w="104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kern w:val="2"/>
                <w:sz w:val="18"/>
                <w:szCs w:val="18"/>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223003</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咸宁市水政监察支队</w:t>
            </w:r>
          </w:p>
        </w:tc>
        <w:tc>
          <w:tcPr>
            <w:tcW w:w="8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243.87</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194.23</w:t>
            </w:r>
          </w:p>
        </w:tc>
        <w:tc>
          <w:tcPr>
            <w:tcW w:w="10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154.23</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49.64</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443"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44"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80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40"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541"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541"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541"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806"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1012"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848"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723"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443" w:type="dxa"/>
            <w:tcBorders>
              <w:top w:val="nil"/>
              <w:left w:val="nil"/>
              <w:bottom w:val="nil"/>
              <w:right w:val="nil"/>
            </w:tcBorders>
            <w:noWrap/>
            <w:vAlign w:val="bottom"/>
          </w:tcPr>
          <w:p>
            <w:pPr>
              <w:rPr>
                <w:rFonts w:hint="eastAsia" w:ascii="宋体" w:hAnsi="宋体" w:eastAsia="宋体" w:cs="宋体"/>
                <w:i w:val="0"/>
                <w:iCs w:val="0"/>
                <w:color w:val="000000"/>
                <w:sz w:val="18"/>
                <w:szCs w:val="18"/>
                <w:u w:val="none"/>
              </w:rPr>
            </w:pPr>
          </w:p>
        </w:tc>
        <w:tc>
          <w:tcPr>
            <w:tcW w:w="104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bl>
    <w:p>
      <w:pPr>
        <w:pStyle w:val="2"/>
        <w:rPr>
          <w:rFonts w:hint="eastAsia"/>
        </w:rPr>
      </w:pPr>
    </w:p>
    <w:tbl>
      <w:tblPr>
        <w:tblStyle w:val="6"/>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97"/>
        <w:gridCol w:w="2865"/>
        <w:gridCol w:w="878"/>
        <w:gridCol w:w="878"/>
        <w:gridCol w:w="1125"/>
        <w:gridCol w:w="1299"/>
        <w:gridCol w:w="777"/>
        <w:gridCol w:w="777"/>
        <w:gridCol w:w="762"/>
        <w:gridCol w:w="762"/>
        <w:gridCol w:w="515"/>
        <w:gridCol w:w="515"/>
        <w:gridCol w:w="515"/>
        <w:gridCol w:w="1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97"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286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78"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78"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2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29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7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7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62"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762"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1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1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51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16"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gridSpan w:val="14"/>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部门支出预算总表（按功能科目到项级）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297"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2865" w:type="dxa"/>
            <w:vMerge w:val="restart"/>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单位名称（科目）</w:t>
            </w:r>
          </w:p>
        </w:tc>
        <w:tc>
          <w:tcPr>
            <w:tcW w:w="878" w:type="dxa"/>
            <w:vMerge w:val="restart"/>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基本保障支出</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项目支出不可预见费</w:t>
            </w:r>
          </w:p>
        </w:tc>
        <w:tc>
          <w:tcPr>
            <w:tcW w:w="5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c>
          <w:tcPr>
            <w:tcW w:w="51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29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i w:val="0"/>
                <w:iCs w:val="0"/>
                <w:color w:val="000000"/>
                <w:sz w:val="18"/>
                <w:szCs w:val="18"/>
                <w:u w:val="none"/>
              </w:rPr>
            </w:pPr>
          </w:p>
        </w:tc>
        <w:tc>
          <w:tcPr>
            <w:tcW w:w="2865"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jc w:val="center"/>
              <w:rPr>
                <w:rFonts w:hint="eastAsia" w:ascii="宋体" w:hAnsi="宋体" w:eastAsia="宋体" w:cs="宋体"/>
                <w:i w:val="0"/>
                <w:iCs w:val="0"/>
                <w:color w:val="000000"/>
                <w:sz w:val="18"/>
                <w:szCs w:val="18"/>
                <w:u w:val="none"/>
              </w:rPr>
            </w:pPr>
          </w:p>
        </w:tc>
        <w:tc>
          <w:tcPr>
            <w:tcW w:w="878" w:type="dxa"/>
            <w:vMerge w:val="continue"/>
            <w:tcBorders>
              <w:top w:val="single" w:color="000000" w:sz="4" w:space="0"/>
              <w:left w:val="nil"/>
              <w:bottom w:val="single" w:color="000000" w:sz="4" w:space="0"/>
              <w:right w:val="single" w:color="000000" w:sz="4" w:space="0"/>
            </w:tcBorders>
            <w:shd w:val="clear" w:color="auto" w:fill="auto"/>
            <w:noWrap w:val="0"/>
            <w:vAlign w:val="center"/>
          </w:tcPr>
          <w:p>
            <w:pPr>
              <w:jc w:val="center"/>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人员经费支出</w:t>
            </w:r>
          </w:p>
        </w:tc>
        <w:tc>
          <w:tcPr>
            <w:tcW w:w="12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标准公用经费支出</w:t>
            </w:r>
          </w:p>
        </w:tc>
        <w:tc>
          <w:tcPr>
            <w:tcW w:w="7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7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经常性项目</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当年一次性项目</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跨年一次性项目</w:t>
            </w: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000000"/>
                <w:sz w:val="18"/>
                <w:szCs w:val="18"/>
                <w:u w:val="none"/>
              </w:rPr>
            </w:pPr>
          </w:p>
        </w:tc>
        <w:tc>
          <w:tcPr>
            <w:tcW w:w="5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51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297" w:type="dxa"/>
            <w:tcBorders>
              <w:top w:val="nil"/>
              <w:left w:val="single" w:color="000000" w:sz="4" w:space="0"/>
              <w:bottom w:val="nil"/>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865" w:type="dxa"/>
            <w:tcBorders>
              <w:top w:val="nil"/>
              <w:left w:val="single" w:color="000000" w:sz="4" w:space="0"/>
              <w:bottom w:val="nil"/>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8" w:type="dxa"/>
            <w:tcBorders>
              <w:top w:val="single" w:color="000000" w:sz="4" w:space="0"/>
              <w:left w:val="single" w:color="000000" w:sz="4" w:space="0"/>
              <w:bottom w:val="nil"/>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9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7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jc w:val="left"/>
              <w:rPr>
                <w:rFonts w:hint="eastAsia" w:ascii="宋体" w:hAnsi="宋体" w:eastAsia="宋体" w:cs="宋体"/>
                <w:b/>
                <w:bCs/>
                <w:i w:val="0"/>
                <w:iCs w:val="0"/>
                <w:color w:val="000000"/>
                <w:sz w:val="18"/>
                <w:szCs w:val="18"/>
                <w:u w:val="none"/>
              </w:rPr>
            </w:pP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243.87</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201.87</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182.88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ind w:firstLine="181" w:firstLineChars="100"/>
              <w:jc w:val="left"/>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cs="宋体"/>
                <w:b/>
                <w:bCs/>
                <w:i w:val="0"/>
                <w:iCs w:val="0"/>
                <w:color w:val="000000"/>
                <w:kern w:val="0"/>
                <w:sz w:val="18"/>
                <w:szCs w:val="18"/>
                <w:u w:val="none"/>
                <w:lang w:val="en-US" w:eastAsia="zh-CN" w:bidi="ar"/>
              </w:rPr>
              <w:t>223</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咸宁市</w:t>
            </w:r>
            <w:r>
              <w:rPr>
                <w:rFonts w:hint="eastAsia" w:ascii="宋体" w:hAnsi="宋体" w:cs="宋体"/>
                <w:b/>
                <w:bCs/>
                <w:i w:val="0"/>
                <w:iCs w:val="0"/>
                <w:color w:val="000000"/>
                <w:kern w:val="0"/>
                <w:sz w:val="18"/>
                <w:szCs w:val="18"/>
                <w:u w:val="none"/>
                <w:lang w:val="en-US" w:eastAsia="zh-CN" w:bidi="ar"/>
              </w:rPr>
              <w:t>水利和湖泊局</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243.87</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201.87</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182.88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223003</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咸宁市水政监察支队</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243.87</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201.87</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182.88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社会保障和就业支出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20805</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行政事业单位养老支出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12.44</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2080505</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机关事业单位基本养老保险缴费支出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2080506</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机关事业单位职业年金缴费支出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卫生健康支出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21011</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行政事业单位医疗</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4.66</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2101102</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事业单位医疗</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农林水支出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214.19</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172.19</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153.20</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21303</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水利</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214.19</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172.19</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153.20</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2130301</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行政运行</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172.19</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172.19</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153.20</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18.99</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2130309</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水利执法监督</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42.00</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住房保障支出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22102</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　　　住房改革支出</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12.58</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2210201</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住房公积金</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297"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2210202</w:t>
            </w:r>
          </w:p>
        </w:tc>
        <w:tc>
          <w:tcPr>
            <w:tcW w:w="2865" w:type="dxa"/>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提租补贴</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8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51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rPr>
            </w:pPr>
          </w:p>
        </w:tc>
      </w:tr>
    </w:tbl>
    <w:p>
      <w:pPr>
        <w:pStyle w:val="2"/>
        <w:ind w:left="0" w:leftChars="0" w:firstLine="0" w:firstLineChars="0"/>
        <w:rPr>
          <w:rFonts w:hint="eastAsia"/>
        </w:rPr>
      </w:pPr>
    </w:p>
    <w:tbl>
      <w:tblPr>
        <w:tblStyle w:val="6"/>
        <w:tblW w:w="13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45"/>
        <w:gridCol w:w="3360"/>
        <w:gridCol w:w="2895"/>
        <w:gridCol w:w="3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345"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336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89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3645"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right"/>
              <w:textAlignment w:val="bottom"/>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预算0</w:t>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0" w:type="auto"/>
            <w:gridSpan w:val="4"/>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项目（按经济分类）</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本级一般公共预算拨款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人员支出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133.24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标准公用经费支出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二、项目支出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
              <w:rPr>
                <w:rFonts w:hint="default"/>
                <w:lang w:val="en-US" w:eastAsia="zh-CN"/>
              </w:rPr>
            </w:pPr>
            <w:r>
              <w:rPr>
                <w:rFonts w:hint="eastAsia"/>
                <w:lang w:val="en-US" w:eastAsia="zh-CN"/>
              </w:rPr>
              <w:t xml:space="preserve">                    42.00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本级基金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三、项目支出不可预见费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上级基金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四、事业单位经营支出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五、对附属单位补助支出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六、上缴上级支出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194.23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bottom"/>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194.23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bl>
    <w:p>
      <w:pPr>
        <w:rPr>
          <w:rFonts w:hint="eastAsia"/>
        </w:rPr>
      </w:pPr>
    </w:p>
    <w:tbl>
      <w:tblPr>
        <w:tblStyle w:val="6"/>
        <w:tblW w:w="115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5"/>
        <w:gridCol w:w="2657"/>
        <w:gridCol w:w="2767"/>
        <w:gridCol w:w="2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65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34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65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76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81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bl>
    <w:p>
      <w:pPr>
        <w:ind w:firstLine="13140" w:firstLineChars="7300"/>
        <w:rPr>
          <w:rFonts w:hint="eastAsia"/>
        </w:rPr>
      </w:pPr>
      <w:r>
        <w:rPr>
          <w:rFonts w:hint="eastAsia" w:ascii="宋体" w:hAnsi="宋体" w:eastAsia="宋体" w:cs="宋体"/>
          <w:i w:val="0"/>
          <w:iCs w:val="0"/>
          <w:color w:val="000000"/>
          <w:kern w:val="0"/>
          <w:sz w:val="18"/>
          <w:szCs w:val="18"/>
          <w:u w:val="none"/>
          <w:lang w:val="en-US" w:eastAsia="zh-CN" w:bidi="ar"/>
        </w:rPr>
        <w:t>预算0</w:t>
      </w:r>
      <w:r>
        <w:rPr>
          <w:rFonts w:hint="eastAsia" w:ascii="宋体" w:hAnsi="宋体" w:cs="宋体"/>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表</w:t>
      </w:r>
    </w:p>
    <w:tbl>
      <w:tblPr>
        <w:tblStyle w:val="6"/>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3"/>
        <w:gridCol w:w="4209"/>
        <w:gridCol w:w="976"/>
        <w:gridCol w:w="976"/>
        <w:gridCol w:w="1207"/>
        <w:gridCol w:w="1005"/>
        <w:gridCol w:w="1035"/>
        <w:gridCol w:w="615"/>
        <w:gridCol w:w="615"/>
        <w:gridCol w:w="61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711"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420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97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97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20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0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03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61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616"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617"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13"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一般公共预算支出表（按功能科目到项级）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单位编码</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单位名称（科目）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基本保障支出</w:t>
            </w:r>
          </w:p>
        </w:tc>
        <w:tc>
          <w:tcPr>
            <w:tcW w:w="103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项目支出不可预见费</w:t>
            </w:r>
          </w:p>
        </w:tc>
        <w:tc>
          <w:tcPr>
            <w:tcW w:w="61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事业单位经营支出</w:t>
            </w:r>
          </w:p>
        </w:tc>
        <w:tc>
          <w:tcPr>
            <w:tcW w:w="61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对附属单位补助支出</w:t>
            </w:r>
          </w:p>
        </w:tc>
        <w:tc>
          <w:tcPr>
            <w:tcW w:w="111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12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人员经费支出</w:t>
            </w:r>
          </w:p>
        </w:tc>
        <w:tc>
          <w:tcPr>
            <w:tcW w:w="10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标准公用经费支出</w:t>
            </w:r>
          </w:p>
        </w:tc>
        <w:tc>
          <w:tcPr>
            <w:tcW w:w="103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1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61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11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152.23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133.24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咸宁市水利和湖泊局</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152.23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133.24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咸宁市水政监察支队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194.23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133.24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社会保障和就业支出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20805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行政事业单位养老支出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2080506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卫生健康支出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21011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行政事业单位医疗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2101102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事业单位医疗</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农林水支出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21303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水利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164.55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行政运行</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2130309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水利执法监督</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住房保障支出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22102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住房改革支出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2210202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提租补贴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r>
    </w:tbl>
    <w:p>
      <w:pPr>
        <w:rPr>
          <w:rFonts w:hint="eastAsia"/>
        </w:rPr>
      </w:pPr>
    </w:p>
    <w:p>
      <w:pPr>
        <w:ind w:firstLine="13140" w:firstLineChars="7300"/>
        <w:rPr>
          <w:rFonts w:hint="eastAsia" w:ascii="宋体" w:hAnsi="宋体" w:eastAsia="宋体" w:cs="宋体"/>
          <w:i w:val="0"/>
          <w:iCs w:val="0"/>
          <w:color w:val="000000"/>
          <w:kern w:val="0"/>
          <w:sz w:val="18"/>
          <w:szCs w:val="18"/>
          <w:u w:val="none"/>
          <w:lang w:val="en-US" w:eastAsia="zh-CN" w:bidi="ar"/>
        </w:rPr>
      </w:pPr>
    </w:p>
    <w:p>
      <w:pPr>
        <w:ind w:firstLine="13140" w:firstLineChars="7300"/>
        <w:rPr>
          <w:rFonts w:hint="eastAsia" w:ascii="宋体" w:hAnsi="宋体" w:eastAsia="宋体" w:cs="宋体"/>
          <w:i w:val="0"/>
          <w:iCs w:val="0"/>
          <w:color w:val="000000"/>
          <w:kern w:val="0"/>
          <w:sz w:val="18"/>
          <w:szCs w:val="18"/>
          <w:u w:val="none"/>
          <w:lang w:val="en-US" w:eastAsia="zh-CN" w:bidi="ar"/>
        </w:rPr>
      </w:pPr>
    </w:p>
    <w:p>
      <w:pPr>
        <w:ind w:firstLine="13140" w:firstLineChars="7300"/>
        <w:rPr>
          <w:rFonts w:hint="eastAsia"/>
        </w:rPr>
      </w:pPr>
      <w:r>
        <w:rPr>
          <w:rFonts w:hint="eastAsia" w:ascii="宋体" w:hAnsi="宋体" w:eastAsia="宋体" w:cs="宋体"/>
          <w:i w:val="0"/>
          <w:iCs w:val="0"/>
          <w:color w:val="000000"/>
          <w:kern w:val="0"/>
          <w:sz w:val="18"/>
          <w:szCs w:val="18"/>
          <w:u w:val="none"/>
          <w:lang w:val="en-US" w:eastAsia="zh-CN" w:bidi="ar"/>
        </w:rPr>
        <w:t>预算0</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表</w:t>
      </w:r>
    </w:p>
    <w:p>
      <w:pPr>
        <w:rPr>
          <w:rFonts w:hint="eastAsia"/>
        </w:rPr>
      </w:pPr>
    </w:p>
    <w:tbl>
      <w:tblPr>
        <w:tblStyle w:val="6"/>
        <w:tblW w:w="94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80"/>
        <w:gridCol w:w="3644"/>
        <w:gridCol w:w="25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280"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3644"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2569"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3"/>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一般公共预算基本支出表（按经济科目到款级）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单位编码</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单位名称（科目）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cs="宋体"/>
                <w:b/>
                <w:bCs/>
                <w:i w:val="0"/>
                <w:iCs w:val="0"/>
                <w:color w:val="000000"/>
                <w:kern w:val="0"/>
                <w:sz w:val="20"/>
                <w:szCs w:val="20"/>
                <w:u w:val="none"/>
                <w:lang w:val="en-US" w:eastAsia="zh-CN" w:bidi="ar"/>
              </w:rPr>
              <w:t>152.23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咸宁市水利和湖泊局</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cs="宋体"/>
                <w:b/>
                <w:bCs/>
                <w:i w:val="0"/>
                <w:iCs w:val="0"/>
                <w:color w:val="000000"/>
                <w:kern w:val="0"/>
                <w:sz w:val="20"/>
                <w:szCs w:val="20"/>
                <w:u w:val="none"/>
                <w:lang w:val="en-US" w:eastAsia="zh-CN" w:bidi="ar"/>
              </w:rPr>
              <w:t>152.23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223003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咸宁市水政监察支队</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152.23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工资福利支出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基本工资</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津贴补贴</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职业年金缴费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职工基本医疗保险缴费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住房公积金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30199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其他工资福利支出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商品和服务支出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办公费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水费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电费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邮电费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物业管理费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公务接待费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工会经费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福利费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其他交通费用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30299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其他商品和服务支出</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303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对个人和家庭的补助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医疗费补助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奖励金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30399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其他对个人和家庭的补助</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22.34</w:t>
            </w:r>
          </w:p>
        </w:tc>
      </w:tr>
    </w:tbl>
    <w:p>
      <w:pPr>
        <w:pStyle w:val="2"/>
        <w:rPr>
          <w:rFonts w:hint="eastAsia"/>
        </w:rPr>
      </w:pPr>
    </w:p>
    <w:tbl>
      <w:tblPr>
        <w:tblStyle w:val="6"/>
        <w:tblW w:w="9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35"/>
        <w:gridCol w:w="4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235" w:type="dxa"/>
            <w:tcBorders>
              <w:top w:val="nil"/>
              <w:left w:val="nil"/>
              <w:bottom w:val="nil"/>
              <w:right w:val="nil"/>
            </w:tcBorders>
            <w:noWrap/>
            <w:vAlign w:val="bottom"/>
          </w:tcPr>
          <w:p>
            <w:pPr>
              <w:ind w:firstLine="4180" w:firstLineChars="1900"/>
              <w:rPr>
                <w:rFonts w:hint="eastAsia" w:ascii="Calibri" w:hAnsi="Calibri" w:cs="Calibri"/>
                <w:i w:val="0"/>
                <w:iCs w:val="0"/>
                <w:color w:val="000000"/>
                <w:sz w:val="22"/>
                <w:szCs w:val="22"/>
                <w:u w:val="none"/>
              </w:rPr>
            </w:pPr>
          </w:p>
        </w:tc>
        <w:tc>
          <w:tcPr>
            <w:tcW w:w="4410" w:type="dxa"/>
            <w:tcBorders>
              <w:top w:val="nil"/>
              <w:left w:val="nil"/>
              <w:bottom w:val="nil"/>
              <w:right w:val="nil"/>
            </w:tcBorders>
            <w:noWrap/>
            <w:vAlign w:val="bottom"/>
          </w:tcPr>
          <w:p>
            <w:pPr>
              <w:rPr>
                <w:rFonts w:hint="default" w:ascii="Calibri" w:hAnsi="Calibri" w:eastAsia="宋体" w:cs="Calibri"/>
                <w:i w:val="0"/>
                <w:iCs w:val="0"/>
                <w:color w:val="000000"/>
                <w:sz w:val="22"/>
                <w:szCs w:val="22"/>
                <w:u w:val="none"/>
                <w:lang w:val="en-US" w:eastAsia="zh-CN"/>
              </w:rPr>
            </w:pPr>
            <w:r>
              <w:rPr>
                <w:rFonts w:hint="eastAsia" w:cs="Calibri"/>
                <w:i w:val="0"/>
                <w:iCs w:val="0"/>
                <w:color w:val="000000"/>
                <w:sz w:val="22"/>
                <w:szCs w:val="22"/>
                <w:u w:val="none"/>
                <w:lang w:val="en-US" w:eastAsia="zh-CN"/>
              </w:rPr>
              <w:t xml:space="preserve">                             </w:t>
            </w:r>
            <w:r>
              <w:rPr>
                <w:rFonts w:hint="eastAsia" w:ascii="宋体" w:hAnsi="宋体" w:eastAsia="宋体" w:cs="宋体"/>
                <w:i w:val="0"/>
                <w:iCs w:val="0"/>
                <w:color w:val="000000"/>
                <w:kern w:val="0"/>
                <w:sz w:val="18"/>
                <w:szCs w:val="18"/>
                <w:u w:val="none"/>
                <w:lang w:val="en-US" w:eastAsia="zh-CN" w:bidi="ar"/>
              </w:rPr>
              <w:t>预算0</w:t>
            </w:r>
            <w:r>
              <w:rPr>
                <w:rFonts w:hint="eastAsia" w:ascii="宋体" w:hAnsi="宋体" w:cs="宋体"/>
                <w:i w:val="0"/>
                <w:iCs w:val="0"/>
                <w:color w:val="000000"/>
                <w:kern w:val="0"/>
                <w:sz w:val="18"/>
                <w:szCs w:val="18"/>
                <w:u w:val="none"/>
                <w:lang w:val="en-US" w:eastAsia="zh-CN" w:bidi="ar"/>
              </w:rPr>
              <w:t>7</w:t>
            </w:r>
            <w:r>
              <w:rPr>
                <w:rFonts w:hint="eastAsia" w:ascii="宋体" w:hAnsi="宋体" w:eastAsia="宋体" w:cs="宋体"/>
                <w:i w:val="0"/>
                <w:iCs w:val="0"/>
                <w:color w:val="000000"/>
                <w:kern w:val="0"/>
                <w:sz w:val="18"/>
                <w:szCs w:val="18"/>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2"/>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一般公共预算“三公”经费支出表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nil"/>
              <w:left w:val="nil"/>
              <w:bottom w:val="nil"/>
              <w:right w:val="nil"/>
            </w:tcBorders>
            <w:noWrap/>
            <w:vAlign w:val="center"/>
          </w:tcPr>
          <w:p>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1.因公出国（境）费用</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2.公务接待费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3.公车购置及运行维护费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其中：公务用车运行维护费</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0</w:t>
            </w:r>
          </w:p>
        </w:tc>
      </w:tr>
    </w:tbl>
    <w:p>
      <w:pPr>
        <w:pStyle w:val="2"/>
        <w:ind w:left="0" w:leftChars="0" w:firstLine="0" w:firstLineChars="0"/>
        <w:rPr>
          <w:rFonts w:hint="eastAsia"/>
        </w:rPr>
      </w:pPr>
    </w:p>
    <w:tbl>
      <w:tblPr>
        <w:tblStyle w:val="6"/>
        <w:tblW w:w="10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35"/>
        <w:gridCol w:w="50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235"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501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0" w:type="auto"/>
            <w:gridSpan w:val="2"/>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nil"/>
              <w:left w:val="nil"/>
              <w:bottom w:val="nil"/>
              <w:right w:val="nil"/>
            </w:tcBorders>
            <w:noWrap/>
            <w:vAlign w:val="center"/>
          </w:tcPr>
          <w:p>
            <w:pPr>
              <w:jc w:val="cente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p>
        </w:tc>
      </w:tr>
    </w:tbl>
    <w:p>
      <w:pPr>
        <w:rPr>
          <w:rFonts w:hint="eastAsia"/>
        </w:rPr>
      </w:pPr>
    </w:p>
    <w:p>
      <w:pPr>
        <w:pStyle w:val="2"/>
        <w:ind w:left="0" w:leftChars="0" w:firstLine="0" w:firstLineChars="0"/>
        <w:rPr>
          <w:rFonts w:hint="eastAsia"/>
        </w:rPr>
      </w:pPr>
    </w:p>
    <w:p>
      <w:pPr>
        <w:rPr>
          <w:rFonts w:hint="eastAsia"/>
        </w:rPr>
      </w:pPr>
    </w:p>
    <w:tbl>
      <w:tblPr>
        <w:tblStyle w:val="6"/>
        <w:tblW w:w="13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5"/>
        <w:gridCol w:w="1515"/>
        <w:gridCol w:w="435"/>
        <w:gridCol w:w="435"/>
        <w:gridCol w:w="1155"/>
        <w:gridCol w:w="1155"/>
        <w:gridCol w:w="960"/>
        <w:gridCol w:w="1230"/>
        <w:gridCol w:w="1230"/>
        <w:gridCol w:w="1230"/>
        <w:gridCol w:w="855"/>
        <w:gridCol w:w="825"/>
        <w:gridCol w:w="97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95" w:type="dxa"/>
            <w:tcBorders>
              <w:top w:val="nil"/>
              <w:left w:val="nil"/>
              <w:bottom w:val="nil"/>
              <w:right w:val="nil"/>
            </w:tcBorders>
            <w:noWrap/>
            <w:vAlign w:val="bottom"/>
          </w:tcPr>
          <w:p>
            <w:pPr>
              <w:rPr>
                <w:rFonts w:hint="eastAsia" w:ascii="Calibri" w:hAnsi="Calibri" w:cs="Calibri"/>
                <w:i w:val="0"/>
                <w:iCs w:val="0"/>
                <w:color w:val="000000"/>
                <w:sz w:val="22"/>
                <w:szCs w:val="22"/>
                <w:u w:val="none"/>
              </w:rPr>
            </w:pPr>
          </w:p>
        </w:tc>
        <w:tc>
          <w:tcPr>
            <w:tcW w:w="151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43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96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230"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5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82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975" w:type="dxa"/>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1155"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cs="宋体"/>
                <w:i w:val="0"/>
                <w:iCs w:val="0"/>
                <w:color w:val="000000"/>
                <w:kern w:val="0"/>
                <w:sz w:val="18"/>
                <w:szCs w:val="18"/>
                <w:u w:val="none"/>
                <w:lang w:val="en-US" w:eastAsia="zh-CN" w:bidi="ar"/>
              </w:rPr>
              <w:t>08</w:t>
            </w:r>
            <w:r>
              <w:rPr>
                <w:rFonts w:hint="eastAsia" w:ascii="宋体" w:hAnsi="宋体" w:eastAsia="宋体" w:cs="宋体"/>
                <w:i w:val="0"/>
                <w:iCs w:val="0"/>
                <w:color w:val="000000"/>
                <w:kern w:val="0"/>
                <w:sz w:val="18"/>
                <w:szCs w:val="18"/>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0" w:type="auto"/>
            <w:gridSpan w:val="14"/>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政府性基金预算支出表（按功能科目到项级）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rPr>
                <w:rFonts w:hint="default" w:ascii="Calibri" w:hAnsi="Calibri" w:cs="Calibri"/>
                <w:i w:val="0"/>
                <w:iCs w:val="0"/>
                <w:color w:val="000000"/>
                <w:sz w:val="22"/>
                <w:szCs w:val="22"/>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1515"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单位名称（科目）</w:t>
            </w:r>
          </w:p>
        </w:tc>
        <w:tc>
          <w:tcPr>
            <w:tcW w:w="435"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基本保障支出</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85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项目支出不可预见费</w:t>
            </w:r>
          </w:p>
        </w:tc>
        <w:tc>
          <w:tcPr>
            <w:tcW w:w="825"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事业单位经营支出</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c>
          <w:tcPr>
            <w:tcW w:w="115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51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3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人员经费支出</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标准公用经费支出</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经常性项目</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当年一次性项目</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跨年一次性项目</w:t>
            </w:r>
          </w:p>
        </w:tc>
        <w:tc>
          <w:tcPr>
            <w:tcW w:w="8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2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95"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515"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5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2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7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5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515" w:type="dxa"/>
            <w:tcBorders>
              <w:top w:val="single" w:color="000000" w:sz="4" w:space="0"/>
              <w:left w:val="nil"/>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435" w:type="dxa"/>
            <w:tcBorders>
              <w:top w:val="single" w:color="000000" w:sz="4" w:space="0"/>
              <w:left w:val="nil"/>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960"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230"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825" w:type="dxa"/>
            <w:tcBorders>
              <w:top w:val="single" w:color="000000" w:sz="4" w:space="0"/>
              <w:left w:val="nil"/>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975" w:type="dxa"/>
            <w:tcBorders>
              <w:top w:val="single" w:color="000000" w:sz="4" w:space="0"/>
              <w:left w:val="single" w:color="000000" w:sz="4" w:space="0"/>
              <w:bottom w:val="single" w:color="000000" w:sz="4" w:space="0"/>
              <w:right w:val="nil"/>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9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51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960"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230"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85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82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97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c>
          <w:tcPr>
            <w:tcW w:w="1155" w:type="dxa"/>
            <w:tcBorders>
              <w:top w:val="nil"/>
              <w:left w:val="nil"/>
              <w:bottom w:val="nil"/>
              <w:right w:val="nil"/>
            </w:tcBorders>
            <w:noWrap w:val="0"/>
            <w:vAlign w:val="bottom"/>
          </w:tcPr>
          <w:p>
            <w:pPr>
              <w:jc w:val="center"/>
              <w:rPr>
                <w:rFonts w:hint="eastAsia" w:ascii="宋体" w:hAnsi="宋体" w:eastAsia="宋体" w:cs="宋体"/>
                <w:i w:val="0"/>
                <w:iCs w:val="0"/>
                <w:color w:val="000000"/>
                <w:sz w:val="18"/>
                <w:szCs w:val="18"/>
                <w:u w:val="none"/>
              </w:rPr>
            </w:pPr>
          </w:p>
        </w:tc>
      </w:tr>
    </w:tbl>
    <w:p>
      <w:pPr>
        <w:pStyle w:val="2"/>
        <w:ind w:left="0" w:leftChars="0" w:firstLine="0" w:firstLineChars="0"/>
        <w:rPr>
          <w:rFonts w:hint="eastAsia"/>
        </w:rPr>
      </w:pPr>
    </w:p>
    <w:tbl>
      <w:tblPr>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3940"/>
        <w:gridCol w:w="2429"/>
        <w:gridCol w:w="736"/>
        <w:gridCol w:w="736"/>
        <w:gridCol w:w="737"/>
        <w:gridCol w:w="737"/>
        <w:gridCol w:w="737"/>
        <w:gridCol w:w="737"/>
        <w:gridCol w:w="737"/>
        <w:gridCol w:w="737"/>
        <w:gridCol w:w="1080"/>
        <w:gridCol w:w="7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940" w:type="dxa"/>
            <w:tcBorders>
              <w:top w:val="nil"/>
              <w:left w:val="nil"/>
              <w:bottom w:val="nil"/>
              <w:right w:val="nil"/>
            </w:tcBorders>
            <w:shd w:val="clear"/>
            <w:noWrap/>
            <w:vAlign w:val="center"/>
          </w:tcPr>
          <w:p>
            <w:pPr>
              <w:keepNext w:val="0"/>
              <w:keepLines w:val="0"/>
              <w:widowControl/>
              <w:suppressLineNumbers w:val="0"/>
              <w:jc w:val="left"/>
              <w:textAlignment w:val="center"/>
              <w:rPr>
                <w:rFonts w:ascii="黑体" w:hAnsi="宋体" w:eastAsia="黑体" w:cs="黑体"/>
                <w:i w:val="0"/>
                <w:iCs w:val="0"/>
                <w:color w:val="000000"/>
                <w:sz w:val="18"/>
                <w:szCs w:val="18"/>
                <w:u w:val="none"/>
              </w:rPr>
            </w:pPr>
          </w:p>
        </w:tc>
        <w:tc>
          <w:tcPr>
            <w:tcW w:w="2429"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6"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6"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cs="宋体"/>
                <w:i w:val="0"/>
                <w:iCs w:val="0"/>
                <w:color w:val="000000"/>
                <w:kern w:val="0"/>
                <w:sz w:val="18"/>
                <w:szCs w:val="18"/>
                <w:u w:val="none"/>
                <w:lang w:val="en-US" w:eastAsia="zh-CN" w:bidi="ar"/>
              </w:rPr>
              <w:t>09</w:t>
            </w:r>
            <w:r>
              <w:rPr>
                <w:rFonts w:hint="eastAsia" w:ascii="宋体" w:hAnsi="宋体" w:eastAsia="宋体" w:cs="宋体"/>
                <w:i w:val="0"/>
                <w:iCs w:val="0"/>
                <w:color w:val="000000"/>
                <w:kern w:val="0"/>
                <w:sz w:val="18"/>
                <w:szCs w:val="18"/>
                <w:u w:val="none"/>
                <w:lang w:val="en-US" w:eastAsia="zh-CN" w:bidi="ar"/>
              </w:rPr>
              <w:t>表</w:t>
            </w:r>
          </w:p>
        </w:tc>
        <w:tc>
          <w:tcPr>
            <w:tcW w:w="738" w:type="dxa"/>
            <w:tcBorders>
              <w:top w:val="nil"/>
              <w:left w:val="nil"/>
              <w:bottom w:val="nil"/>
              <w:right w:val="nil"/>
            </w:tcBorders>
            <w:shd w:val="clear"/>
            <w:noWrap/>
            <w:vAlign w:val="bottom"/>
          </w:tcPr>
          <w:p>
            <w:pPr>
              <w:rPr>
                <w:rFonts w:hint="eastAsia"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14081" w:type="dxa"/>
            <w:gridSpan w:val="12"/>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bdr w:val="none" w:color="auto" w:sz="0" w:space="0"/>
                <w:lang w:val="en-US" w:eastAsia="zh-CN" w:bidi="ar"/>
              </w:rPr>
              <w:t>项目支出表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940" w:type="dxa"/>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填报单位：咸宁市水政监察支队</w:t>
            </w:r>
          </w:p>
        </w:tc>
        <w:tc>
          <w:tcPr>
            <w:tcW w:w="2429" w:type="dxa"/>
            <w:tcBorders>
              <w:top w:val="nil"/>
              <w:left w:val="nil"/>
              <w:bottom w:val="nil"/>
              <w:right w:val="nil"/>
            </w:tcBorders>
            <w:shd w:val="clear"/>
            <w:noWrap/>
            <w:vAlign w:val="bottom"/>
          </w:tcPr>
          <w:p>
            <w:pPr>
              <w:rPr>
                <w:rFonts w:hint="default" w:ascii="Calibri" w:hAnsi="Calibri" w:cs="Calibri"/>
                <w:i w:val="0"/>
                <w:iCs w:val="0"/>
                <w:color w:val="000000"/>
                <w:sz w:val="22"/>
                <w:szCs w:val="22"/>
                <w:u w:val="none"/>
              </w:rPr>
            </w:pPr>
          </w:p>
        </w:tc>
        <w:tc>
          <w:tcPr>
            <w:tcW w:w="736"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6"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737" w:type="dxa"/>
            <w:tcBorders>
              <w:top w:val="nil"/>
              <w:left w:val="nil"/>
              <w:bottom w:val="nil"/>
              <w:right w:val="nil"/>
            </w:tcBorders>
            <w:shd w:val="clear"/>
            <w:noWrap/>
            <w:vAlign w:val="center"/>
          </w:tcPr>
          <w:p>
            <w:pPr>
              <w:jc w:val="cente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单位：万元</w:t>
            </w:r>
          </w:p>
        </w:tc>
        <w:tc>
          <w:tcPr>
            <w:tcW w:w="738" w:type="dxa"/>
            <w:tcBorders>
              <w:top w:val="nil"/>
              <w:left w:val="nil"/>
              <w:bottom w:val="nil"/>
              <w:right w:val="nil"/>
            </w:tcBorders>
            <w:shd w:val="clear"/>
            <w:noWrap/>
            <w:vAlign w:val="bottom"/>
          </w:tcPr>
          <w:p>
            <w:pPr>
              <w:rPr>
                <w:rFonts w:hint="eastAsia"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3940"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项目分类</w:t>
            </w:r>
          </w:p>
        </w:tc>
        <w:tc>
          <w:tcPr>
            <w:tcW w:w="2429"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项目名称</w:t>
            </w:r>
          </w:p>
        </w:tc>
        <w:tc>
          <w:tcPr>
            <w:tcW w:w="736" w:type="dxa"/>
            <w:vMerge w:val="restar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合计</w:t>
            </w:r>
          </w:p>
        </w:tc>
        <w:tc>
          <w:tcPr>
            <w:tcW w:w="221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本年拨款</w:t>
            </w:r>
          </w:p>
        </w:tc>
        <w:tc>
          <w:tcPr>
            <w:tcW w:w="221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财政拨款结转结余</w:t>
            </w:r>
          </w:p>
        </w:tc>
        <w:tc>
          <w:tcPr>
            <w:tcW w:w="73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财政专户管理资金</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单位资金</w:t>
            </w:r>
          </w:p>
        </w:tc>
        <w:tc>
          <w:tcPr>
            <w:tcW w:w="73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事业单位经营支出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3940"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2429"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b/>
                <w:bCs/>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一般公共预算</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政府性基金预算</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国有资本经营预算</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一般公共预算</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政府性基金预算</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国有资本经营预算</w:t>
            </w:r>
          </w:p>
        </w:tc>
        <w:tc>
          <w:tcPr>
            <w:tcW w:w="73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940"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b/>
                <w:bCs/>
                <w:i w:val="0"/>
                <w:iCs w:val="0"/>
                <w:color w:val="000000"/>
                <w:sz w:val="18"/>
                <w:szCs w:val="18"/>
                <w:u w:val="none"/>
              </w:rPr>
            </w:pPr>
          </w:p>
        </w:tc>
        <w:tc>
          <w:tcPr>
            <w:tcW w:w="24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合计</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42.00</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42.00</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75" w:hRule="atLeast"/>
        </w:trPr>
        <w:tc>
          <w:tcPr>
            <w:tcW w:w="39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其他运转类</w:t>
            </w:r>
          </w:p>
        </w:tc>
        <w:tc>
          <w:tcPr>
            <w:tcW w:w="24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办公大楼维护运行项目</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2.00</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9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本级支出项目</w:t>
            </w:r>
          </w:p>
        </w:tc>
        <w:tc>
          <w:tcPr>
            <w:tcW w:w="24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河道采砂管理</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0" w:hRule="atLeast"/>
        </w:trPr>
        <w:tc>
          <w:tcPr>
            <w:tcW w:w="39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本级支出项目</w:t>
            </w:r>
          </w:p>
        </w:tc>
        <w:tc>
          <w:tcPr>
            <w:tcW w:w="24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水政执法办案</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15.00</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9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本级支出项目</w:t>
            </w:r>
          </w:p>
        </w:tc>
        <w:tc>
          <w:tcPr>
            <w:tcW w:w="242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河道砂石矿业权出让收益评估费用</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7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w:t>
            </w: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noWrap/>
            <w:vAlign w:val="center"/>
          </w:tcPr>
          <w:p>
            <w:pPr>
              <w:jc w:val="right"/>
              <w:rPr>
                <w:rFonts w:hint="eastAsia" w:ascii="宋体" w:hAnsi="宋体" w:eastAsia="宋体" w:cs="宋体"/>
                <w:i w:val="0"/>
                <w:iCs w:val="0"/>
                <w:color w:val="000000"/>
                <w:sz w:val="18"/>
                <w:szCs w:val="18"/>
                <w:u w:val="none"/>
              </w:rPr>
            </w:pPr>
          </w:p>
        </w:tc>
      </w:tr>
    </w:tbl>
    <w:p>
      <w:pPr>
        <w:rPr>
          <w:rFonts w:hint="eastAsia"/>
        </w:rPr>
      </w:pPr>
    </w:p>
    <w:p>
      <w:pPr>
        <w:pStyle w:val="2"/>
        <w:rPr>
          <w:rFonts w:hint="eastAsia"/>
        </w:rPr>
      </w:pPr>
    </w:p>
    <w:p>
      <w:pPr>
        <w:keepNext w:val="0"/>
        <w:keepLines w:val="0"/>
        <w:widowControl/>
        <w:suppressLineNumbers w:val="0"/>
        <w:jc w:val="left"/>
        <w:rPr>
          <w:rFonts w:hint="eastAsia" w:ascii="仿宋_GB2312" w:hAnsi="仿宋_GB2312" w:eastAsia="仿宋_GB2312" w:cs="仿宋_GB2312"/>
          <w:b/>
          <w:bCs/>
          <w:sz w:val="32"/>
          <w:szCs w:val="32"/>
        </w:rPr>
      </w:pPr>
      <w:r>
        <w:rPr>
          <w:rFonts w:hint="eastAsia" w:ascii="楷体" w:hAnsi="楷体" w:eastAsia="楷体" w:cs="楷体"/>
          <w:b/>
          <w:bCs/>
          <w:color w:val="000000"/>
          <w:kern w:val="0"/>
          <w:sz w:val="32"/>
          <w:szCs w:val="32"/>
          <w:lang w:val="en-US" w:eastAsia="zh-CN" w:bidi="ar"/>
        </w:rPr>
        <w:t>第四部分 2022年部门预算编制情况及说明</w:t>
      </w:r>
      <w:r>
        <w:rPr>
          <w:rFonts w:hint="eastAsia" w:ascii="仿宋_GB2312" w:hAnsi="仿宋_GB2312" w:eastAsia="仿宋_GB2312" w:cs="仿宋_GB2312"/>
          <w:b/>
          <w:bCs/>
          <w:color w:val="000000"/>
          <w:kern w:val="0"/>
          <w:sz w:val="32"/>
          <w:szCs w:val="32"/>
          <w:lang w:val="en-US" w:eastAsia="zh-CN" w:bidi="ar"/>
        </w:rPr>
        <w:t xml:space="preserve"> </w:t>
      </w:r>
    </w:p>
    <w:p>
      <w:pPr>
        <w:keepNext w:val="0"/>
        <w:keepLines w:val="0"/>
        <w:widowControl/>
        <w:suppressLineNumbers w:val="0"/>
        <w:jc w:val="left"/>
        <w:rPr>
          <w:rFonts w:hint="eastAsia" w:ascii="仿宋_GB2312" w:hAnsi="宋体" w:eastAsia="仿宋_GB2312" w:cs="仿宋_GB2312"/>
          <w:color w:val="333333"/>
          <w:kern w:val="0"/>
          <w:sz w:val="28"/>
          <w:szCs w:val="28"/>
          <w:lang w:val="en-US" w:eastAsia="zh-CN" w:bidi="ar"/>
        </w:rPr>
      </w:pPr>
      <w:r>
        <w:rPr>
          <w:rFonts w:hint="eastAsia" w:ascii="仿宋_GB2312" w:hAnsi="宋体" w:eastAsia="仿宋_GB2312" w:cs="仿宋_GB2312"/>
          <w:color w:val="333333"/>
          <w:kern w:val="0"/>
          <w:sz w:val="28"/>
          <w:szCs w:val="28"/>
          <w:lang w:val="en-US" w:eastAsia="zh-CN" w:bidi="ar"/>
        </w:rPr>
        <w:t xml:space="preserve">（一）预算收支安排及增减变化情况说明 </w:t>
      </w:r>
    </w:p>
    <w:p>
      <w:pPr>
        <w:keepNext w:val="0"/>
        <w:keepLines w:val="0"/>
        <w:widowControl/>
        <w:suppressLineNumbers w:val="0"/>
        <w:ind w:firstLine="622"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2022年水政监察支队部门预算收入为243.87万元。</w:t>
      </w:r>
      <w:r>
        <w:rPr>
          <w:rFonts w:hint="eastAsia" w:ascii="仿宋" w:hAnsi="仿宋" w:eastAsia="仿宋" w:cs="仿宋"/>
          <w:color w:val="333333"/>
          <w:kern w:val="0"/>
          <w:sz w:val="31"/>
          <w:szCs w:val="31"/>
          <w:lang w:val="en-US" w:eastAsia="zh-CN" w:bidi="ar"/>
        </w:rPr>
        <w:t>比</w:t>
      </w:r>
      <w:r>
        <w:rPr>
          <w:rFonts w:hint="default" w:ascii="仿宋" w:hAnsi="仿宋" w:eastAsia="仿宋" w:cs="仿宋"/>
          <w:color w:val="333333"/>
          <w:kern w:val="0"/>
          <w:sz w:val="31"/>
          <w:szCs w:val="31"/>
          <w:lang w:val="en-US" w:eastAsia="zh-CN" w:bidi="ar"/>
        </w:rPr>
        <w:t>202</w:t>
      </w:r>
      <w:r>
        <w:rPr>
          <w:rFonts w:hint="eastAsia" w:ascii="仿宋" w:hAnsi="仿宋" w:eastAsia="仿宋" w:cs="仿宋"/>
          <w:color w:val="333333"/>
          <w:kern w:val="0"/>
          <w:sz w:val="31"/>
          <w:szCs w:val="31"/>
          <w:lang w:val="en-US" w:eastAsia="zh-CN" w:bidi="ar"/>
        </w:rPr>
        <w:t>1</w:t>
      </w:r>
      <w:r>
        <w:rPr>
          <w:rFonts w:hint="default" w:ascii="仿宋" w:hAnsi="仿宋" w:eastAsia="仿宋" w:cs="仿宋"/>
          <w:color w:val="333333"/>
          <w:kern w:val="0"/>
          <w:sz w:val="31"/>
          <w:szCs w:val="31"/>
          <w:lang w:val="en-US" w:eastAsia="zh-CN" w:bidi="ar"/>
        </w:rPr>
        <w:t>年</w:t>
      </w:r>
      <w:r>
        <w:rPr>
          <w:rFonts w:hint="eastAsia" w:ascii="仿宋" w:hAnsi="仿宋" w:eastAsia="仿宋" w:cs="仿宋"/>
          <w:color w:val="333333"/>
          <w:kern w:val="0"/>
          <w:sz w:val="31"/>
          <w:szCs w:val="31"/>
          <w:lang w:val="en-US" w:eastAsia="zh-CN" w:bidi="ar"/>
        </w:rPr>
        <w:t>度</w:t>
      </w:r>
      <w:r>
        <w:rPr>
          <w:rFonts w:hint="default" w:ascii="仿宋" w:hAnsi="仿宋" w:eastAsia="仿宋" w:cs="仿宋"/>
          <w:color w:val="333333"/>
          <w:kern w:val="0"/>
          <w:sz w:val="31"/>
          <w:szCs w:val="31"/>
          <w:lang w:val="en-US" w:eastAsia="zh-CN" w:bidi="ar"/>
        </w:rPr>
        <w:t>收入</w:t>
      </w:r>
      <w:r>
        <w:rPr>
          <w:rFonts w:hint="eastAsia" w:ascii="仿宋" w:hAnsi="仿宋" w:eastAsia="仿宋" w:cs="仿宋"/>
          <w:b/>
          <w:bCs/>
          <w:color w:val="333333"/>
          <w:kern w:val="0"/>
          <w:sz w:val="31"/>
          <w:szCs w:val="31"/>
          <w:lang w:val="en-US" w:eastAsia="zh-CN" w:bidi="ar"/>
        </w:rPr>
        <w:t>270.63</w:t>
      </w:r>
      <w:r>
        <w:rPr>
          <w:rFonts w:hint="default" w:ascii="仿宋" w:hAnsi="仿宋" w:eastAsia="仿宋" w:cs="仿宋"/>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减少26.76万元，减少幅度为9.89%，主要原因为退休一人。其中：本年收入中一般公共预算拨款为194.23万元（其中：经费拨款154.23万元、纳入非税管理的非税40万元），社保基金拨款49.64 万元。</w:t>
      </w:r>
    </w:p>
    <w:p>
      <w:pPr>
        <w:keepNext w:val="0"/>
        <w:keepLines w:val="0"/>
        <w:widowControl/>
        <w:suppressLineNumbers w:val="0"/>
        <w:ind w:firstLine="622" w:firstLineChars="200"/>
        <w:jc w:val="left"/>
        <w:rPr>
          <w:rFonts w:hint="eastAsia" w:ascii="仿宋" w:hAnsi="仿宋" w:eastAsia="仿宋" w:cs="仿宋"/>
          <w:color w:val="333333"/>
          <w:kern w:val="0"/>
          <w:sz w:val="31"/>
          <w:szCs w:val="31"/>
          <w:lang w:val="en-US" w:eastAsia="zh-CN" w:bidi="ar"/>
        </w:rPr>
      </w:pPr>
      <w:r>
        <w:rPr>
          <w:rFonts w:ascii="仿宋" w:hAnsi="仿宋" w:eastAsia="仿宋" w:cs="仿宋"/>
          <w:b/>
          <w:bCs/>
          <w:color w:val="333333"/>
          <w:kern w:val="0"/>
          <w:sz w:val="31"/>
          <w:szCs w:val="31"/>
          <w:lang w:val="en-US" w:eastAsia="zh-CN" w:bidi="ar"/>
        </w:rPr>
        <w:t>202</w:t>
      </w:r>
      <w:r>
        <w:rPr>
          <w:rFonts w:hint="eastAsia" w:ascii="仿宋" w:hAnsi="仿宋" w:eastAsia="仿宋" w:cs="仿宋"/>
          <w:b/>
          <w:bCs/>
          <w:color w:val="333333"/>
          <w:kern w:val="0"/>
          <w:sz w:val="31"/>
          <w:szCs w:val="31"/>
          <w:lang w:val="en-US" w:eastAsia="zh-CN" w:bidi="ar"/>
        </w:rPr>
        <w:t>2</w:t>
      </w:r>
      <w:r>
        <w:rPr>
          <w:rFonts w:ascii="仿宋" w:hAnsi="仿宋" w:eastAsia="仿宋" w:cs="仿宋"/>
          <w:b/>
          <w:bCs/>
          <w:color w:val="333333"/>
          <w:kern w:val="0"/>
          <w:sz w:val="31"/>
          <w:szCs w:val="31"/>
          <w:lang w:val="en-US" w:eastAsia="zh-CN" w:bidi="ar"/>
        </w:rPr>
        <w:t xml:space="preserve"> 年</w:t>
      </w:r>
      <w:r>
        <w:rPr>
          <w:rFonts w:hint="eastAsia" w:ascii="仿宋" w:hAnsi="仿宋" w:eastAsia="仿宋" w:cs="仿宋"/>
          <w:b/>
          <w:bCs/>
          <w:color w:val="333333"/>
          <w:kern w:val="0"/>
          <w:sz w:val="31"/>
          <w:szCs w:val="31"/>
          <w:lang w:val="en-US" w:eastAsia="zh-CN" w:bidi="ar"/>
        </w:rPr>
        <w:t>水政监察支队</w:t>
      </w:r>
      <w:r>
        <w:rPr>
          <w:rFonts w:ascii="仿宋" w:hAnsi="仿宋" w:eastAsia="仿宋" w:cs="仿宋"/>
          <w:b/>
          <w:bCs/>
          <w:color w:val="333333"/>
          <w:kern w:val="0"/>
          <w:sz w:val="31"/>
          <w:szCs w:val="31"/>
          <w:lang w:val="en-US" w:eastAsia="zh-CN" w:bidi="ar"/>
        </w:rPr>
        <w:t>部门预算支出</w:t>
      </w:r>
      <w:r>
        <w:rPr>
          <w:rFonts w:hint="eastAsia" w:ascii="仿宋" w:hAnsi="仿宋" w:eastAsia="仿宋" w:cs="仿宋"/>
          <w:b/>
          <w:bCs/>
          <w:color w:val="333333"/>
          <w:kern w:val="0"/>
          <w:sz w:val="31"/>
          <w:szCs w:val="31"/>
          <w:lang w:val="en-US" w:eastAsia="zh-CN" w:bidi="ar"/>
        </w:rPr>
        <w:t>为243.87</w:t>
      </w:r>
      <w:r>
        <w:rPr>
          <w:rFonts w:ascii="仿宋" w:hAnsi="仿宋" w:eastAsia="仿宋" w:cs="仿宋"/>
          <w:b/>
          <w:bCs/>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比</w:t>
      </w:r>
      <w:r>
        <w:rPr>
          <w:rFonts w:hint="default" w:ascii="仿宋" w:hAnsi="仿宋" w:eastAsia="仿宋" w:cs="仿宋"/>
          <w:color w:val="333333"/>
          <w:kern w:val="0"/>
          <w:sz w:val="31"/>
          <w:szCs w:val="31"/>
          <w:lang w:val="en-US" w:eastAsia="zh-CN" w:bidi="ar"/>
        </w:rPr>
        <w:t>202</w:t>
      </w:r>
      <w:r>
        <w:rPr>
          <w:rFonts w:hint="eastAsia" w:ascii="仿宋" w:hAnsi="仿宋" w:eastAsia="仿宋" w:cs="仿宋"/>
          <w:color w:val="333333"/>
          <w:kern w:val="0"/>
          <w:sz w:val="31"/>
          <w:szCs w:val="31"/>
          <w:lang w:val="en-US" w:eastAsia="zh-CN" w:bidi="ar"/>
        </w:rPr>
        <w:t>1</w:t>
      </w:r>
      <w:r>
        <w:rPr>
          <w:rFonts w:hint="default" w:ascii="仿宋" w:hAnsi="仿宋" w:eastAsia="仿宋" w:cs="仿宋"/>
          <w:color w:val="333333"/>
          <w:kern w:val="0"/>
          <w:sz w:val="31"/>
          <w:szCs w:val="31"/>
          <w:lang w:val="en-US" w:eastAsia="zh-CN" w:bidi="ar"/>
        </w:rPr>
        <w:t>年</w:t>
      </w:r>
      <w:r>
        <w:rPr>
          <w:rFonts w:hint="eastAsia" w:ascii="仿宋" w:hAnsi="仿宋" w:eastAsia="仿宋" w:cs="仿宋"/>
          <w:color w:val="333333"/>
          <w:kern w:val="0"/>
          <w:sz w:val="31"/>
          <w:szCs w:val="31"/>
          <w:lang w:val="en-US" w:eastAsia="zh-CN" w:bidi="ar"/>
        </w:rPr>
        <w:t>度支出</w:t>
      </w:r>
      <w:r>
        <w:rPr>
          <w:rFonts w:hint="eastAsia" w:ascii="仿宋" w:hAnsi="仿宋" w:eastAsia="仿宋" w:cs="仿宋"/>
          <w:b/>
          <w:bCs/>
          <w:color w:val="333333"/>
          <w:kern w:val="0"/>
          <w:sz w:val="31"/>
          <w:szCs w:val="31"/>
          <w:lang w:val="en-US" w:eastAsia="zh-CN" w:bidi="ar"/>
        </w:rPr>
        <w:t>270.63</w:t>
      </w:r>
      <w:r>
        <w:rPr>
          <w:rFonts w:hint="default" w:ascii="仿宋" w:hAnsi="仿宋" w:eastAsia="仿宋" w:cs="仿宋"/>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减少26.76万元，减少幅度为9.89%，主要原因为退休一人。</w:t>
      </w:r>
      <w:r>
        <w:rPr>
          <w:rFonts w:ascii="仿宋" w:hAnsi="仿宋" w:eastAsia="仿宋" w:cs="仿宋"/>
          <w:color w:val="333333"/>
          <w:kern w:val="0"/>
          <w:sz w:val="31"/>
          <w:szCs w:val="31"/>
          <w:lang w:val="en-US" w:eastAsia="zh-CN" w:bidi="ar"/>
        </w:rPr>
        <w:t xml:space="preserve">按经济分类细分，本年支出 </w:t>
      </w:r>
      <w:r>
        <w:rPr>
          <w:rFonts w:hint="eastAsia" w:ascii="仿宋" w:hAnsi="仿宋" w:eastAsia="仿宋" w:cs="仿宋"/>
          <w:b/>
          <w:bCs/>
          <w:color w:val="333333"/>
          <w:kern w:val="0"/>
          <w:sz w:val="31"/>
          <w:szCs w:val="31"/>
          <w:lang w:val="en-US" w:eastAsia="zh-CN" w:bidi="ar"/>
        </w:rPr>
        <w:t>243.87</w:t>
      </w:r>
      <w:r>
        <w:rPr>
          <w:rFonts w:ascii="仿宋" w:hAnsi="仿宋" w:eastAsia="仿宋" w:cs="仿宋"/>
          <w:color w:val="333333"/>
          <w:kern w:val="0"/>
          <w:sz w:val="31"/>
          <w:szCs w:val="31"/>
          <w:lang w:val="en-US" w:eastAsia="zh-CN" w:bidi="ar"/>
        </w:rPr>
        <w:t>万</w:t>
      </w:r>
      <w:r>
        <w:rPr>
          <w:rFonts w:hint="eastAsia" w:ascii="仿宋" w:hAnsi="仿宋" w:eastAsia="仿宋" w:cs="仿宋"/>
          <w:color w:val="333333"/>
          <w:kern w:val="0"/>
          <w:sz w:val="31"/>
          <w:szCs w:val="31"/>
          <w:lang w:val="en-US" w:eastAsia="zh-CN" w:bidi="ar"/>
        </w:rPr>
        <w:t>元，</w:t>
      </w:r>
      <w:r>
        <w:rPr>
          <w:rFonts w:ascii="仿宋" w:hAnsi="仿宋" w:eastAsia="仿宋" w:cs="仿宋"/>
          <w:color w:val="333333"/>
          <w:kern w:val="0"/>
          <w:sz w:val="31"/>
          <w:szCs w:val="31"/>
          <w:lang w:val="en-US" w:eastAsia="zh-CN" w:bidi="ar"/>
        </w:rPr>
        <w:t>包括基本保</w:t>
      </w:r>
      <w:r>
        <w:rPr>
          <w:rFonts w:hint="eastAsia" w:ascii="仿宋" w:hAnsi="仿宋" w:eastAsia="仿宋" w:cs="仿宋"/>
          <w:color w:val="333333"/>
          <w:kern w:val="0"/>
          <w:sz w:val="31"/>
          <w:szCs w:val="31"/>
          <w:lang w:val="en-US" w:eastAsia="zh-CN" w:bidi="ar"/>
        </w:rPr>
        <w:t>障支出201.87 万元（其中：人员经费支出182.88万元、标准公用经费支出18.99万元），项目支出 42万元。</w:t>
      </w:r>
    </w:p>
    <w:p>
      <w:pPr>
        <w:pStyle w:val="2"/>
        <w:ind w:left="0" w:leftChars="0" w:firstLine="620" w:firstLineChars="200"/>
        <w:rPr>
          <w:rFonts w:ascii="仿宋" w:hAnsi="仿宋" w:eastAsia="仿宋" w:cs="仿宋"/>
          <w:color w:val="333333"/>
          <w:kern w:val="0"/>
          <w:sz w:val="31"/>
          <w:szCs w:val="31"/>
          <w:lang w:val="en-US" w:eastAsia="zh-CN" w:bidi="ar"/>
        </w:rPr>
      </w:pPr>
      <w:r>
        <w:rPr>
          <w:rFonts w:hint="default" w:ascii="仿宋" w:hAnsi="仿宋" w:eastAsia="仿宋" w:cs="仿宋"/>
          <w:color w:val="333333"/>
          <w:kern w:val="0"/>
          <w:sz w:val="31"/>
          <w:szCs w:val="31"/>
          <w:lang w:val="en-US" w:eastAsia="zh-CN" w:bidi="ar"/>
        </w:rPr>
        <w:t>市</w:t>
      </w:r>
      <w:r>
        <w:rPr>
          <w:rFonts w:hint="eastAsia" w:ascii="仿宋" w:hAnsi="仿宋" w:eastAsia="仿宋" w:cs="仿宋"/>
          <w:color w:val="333333"/>
          <w:kern w:val="0"/>
          <w:sz w:val="31"/>
          <w:szCs w:val="31"/>
          <w:lang w:val="en-US" w:eastAsia="zh-CN" w:bidi="ar"/>
        </w:rPr>
        <w:t>水政监察支队2022年政府性基金预算支出为0。</w:t>
      </w:r>
    </w:p>
    <w:p>
      <w:pPr>
        <w:pStyle w:val="2"/>
        <w:rPr>
          <w:rFonts w:hint="eastAsia"/>
          <w:lang w:val="en-US" w:eastAsia="zh-CN"/>
        </w:rPr>
      </w:pP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（二）机关运行经费安排及增减变化情况说明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2022年机关运行经费预算18.99万元，其中：办公费 0.99 万元、水电费1.05万元、邮电费0.75万元、物业管理费0.9万元、因公出国(境)费用 0 万元、公务接待费0.3万元、工会会费1.04万元、其他交通费用4.02万元、其他商品和服务支出8.65万元。比上年度21.61万元减少2.62万元，下降12.12%，下降原因：单位人员减少，所以预算减少。</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（三）“三公”经费安排及增减变化情况说明 </w:t>
      </w:r>
    </w:p>
    <w:p>
      <w:pPr>
        <w:keepNext w:val="0"/>
        <w:keepLines w:val="0"/>
        <w:widowControl/>
        <w:suppressLineNumbers w:val="0"/>
        <w:ind w:firstLine="620" w:firstLineChars="200"/>
        <w:jc w:val="left"/>
        <w:rPr>
          <w:rFonts w:hint="eastAsia" w:ascii="仿宋" w:hAnsi="仿宋" w:eastAsia="仿宋" w:cs="仿宋"/>
          <w:b w:val="0"/>
          <w:bCs w:val="0"/>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咸宁市水政监察支队 2022 年“三公”经费预算0.3万元，占预算总额的0.15%，与上年度持平。</w:t>
      </w:r>
    </w:p>
    <w:p>
      <w:pPr>
        <w:keepNext w:val="0"/>
        <w:keepLines w:val="0"/>
        <w:widowControl/>
        <w:suppressLineNumbers w:val="0"/>
        <w:ind w:firstLine="620" w:firstLineChars="200"/>
        <w:jc w:val="left"/>
        <w:rPr>
          <w:rFonts w:hint="eastAsia" w:ascii="仿宋" w:hAnsi="仿宋" w:eastAsia="仿宋" w:cs="仿宋"/>
          <w:b w:val="0"/>
          <w:bCs w:val="0"/>
          <w:color w:val="333333"/>
          <w:kern w:val="0"/>
          <w:sz w:val="31"/>
          <w:szCs w:val="31"/>
          <w:lang w:val="en-US" w:eastAsia="zh-CN" w:bidi="ar"/>
        </w:rPr>
      </w:pPr>
      <w:r>
        <w:rPr>
          <w:rFonts w:hint="eastAsia" w:ascii="仿宋" w:hAnsi="仿宋" w:eastAsia="仿宋" w:cs="仿宋"/>
          <w:b w:val="0"/>
          <w:bCs w:val="0"/>
          <w:color w:val="333333"/>
          <w:kern w:val="0"/>
          <w:sz w:val="31"/>
          <w:szCs w:val="31"/>
          <w:lang w:val="en-US" w:eastAsia="zh-CN" w:bidi="ar"/>
        </w:rPr>
        <w:t xml:space="preserve">因公出国（境）费用 0 万元，比上年增加（减少）0 万元,增长（下降）0%。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20" w:firstLineChars="200"/>
        <w:jc w:val="both"/>
        <w:textAlignment w:val="auto"/>
        <w:rPr>
          <w:rFonts w:hint="eastAsia" w:ascii="仿宋" w:hAnsi="仿宋" w:eastAsia="仿宋" w:cs="仿宋"/>
          <w:b w:val="0"/>
          <w:bCs w:val="0"/>
          <w:color w:val="333333"/>
          <w:kern w:val="0"/>
          <w:sz w:val="31"/>
          <w:szCs w:val="31"/>
          <w:lang w:val="en-US" w:eastAsia="zh-CN" w:bidi="ar"/>
        </w:rPr>
      </w:pPr>
      <w:r>
        <w:rPr>
          <w:rFonts w:hint="eastAsia" w:ascii="仿宋" w:hAnsi="仿宋" w:eastAsia="仿宋" w:cs="仿宋"/>
          <w:b w:val="0"/>
          <w:bCs w:val="0"/>
          <w:color w:val="333333"/>
          <w:kern w:val="0"/>
          <w:sz w:val="31"/>
          <w:szCs w:val="31"/>
          <w:lang w:val="en-US" w:eastAsia="zh-CN" w:bidi="ar"/>
        </w:rPr>
        <w:t>公务用车购置及运行维护费0万元，其中：公务用车运行维护费0万元；公务用车购置费0万元。比上年增加（减少）0万元,增长（下降）0%。</w:t>
      </w:r>
    </w:p>
    <w:p>
      <w:pPr>
        <w:keepNext w:val="0"/>
        <w:keepLines w:val="0"/>
        <w:widowControl/>
        <w:suppressLineNumbers w:val="0"/>
        <w:ind w:firstLine="620" w:firstLineChars="200"/>
        <w:jc w:val="left"/>
        <w:rPr>
          <w:rFonts w:hint="eastAsia" w:ascii="仿宋" w:hAnsi="仿宋" w:eastAsia="仿宋" w:cs="仿宋"/>
          <w:b w:val="0"/>
          <w:bCs w:val="0"/>
          <w:color w:val="333333"/>
          <w:kern w:val="0"/>
          <w:sz w:val="31"/>
          <w:szCs w:val="31"/>
          <w:lang w:val="en-US" w:eastAsia="zh-CN" w:bidi="ar"/>
        </w:rPr>
      </w:pPr>
      <w:r>
        <w:rPr>
          <w:rFonts w:hint="eastAsia" w:ascii="仿宋" w:hAnsi="仿宋" w:eastAsia="仿宋" w:cs="仿宋"/>
          <w:b w:val="0"/>
          <w:bCs w:val="0"/>
          <w:color w:val="333333"/>
          <w:kern w:val="0"/>
          <w:sz w:val="31"/>
          <w:szCs w:val="31"/>
          <w:lang w:val="en-US" w:eastAsia="zh-CN" w:bidi="ar"/>
        </w:rPr>
        <w:t>公务接待费 0.3 万元，比上年增加（减少）0万元，增长（下降）0%。</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（四）政府采购预算安排及增减变化情况说明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 xml:space="preserve">咸宁市水政监察支队严格按照《中华人民共和国政府采购法》《咸宁市年政府集中采购目录及标准》有关规定，切实做到“应编尽编，应采尽采”。2022 年，我单位政府采购预算10.8万元，其中货物类采购预算0.8万元;服务类采购预算10万元，与上年度采购预算持续平。 </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（五）国有资产占用及增减变化情况说明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国有资产占用情况说明：截至2021年12月31日，</w:t>
      </w:r>
      <w:r>
        <w:rPr>
          <w:rFonts w:hint="default" w:ascii="仿宋" w:hAnsi="仿宋" w:eastAsia="仿宋" w:cs="仿宋"/>
          <w:color w:val="333333"/>
          <w:kern w:val="0"/>
          <w:sz w:val="31"/>
          <w:szCs w:val="31"/>
          <w:lang w:val="en-US" w:eastAsia="zh-CN" w:bidi="ar"/>
        </w:rPr>
        <w:t>资产总额46.</w:t>
      </w:r>
      <w:r>
        <w:rPr>
          <w:rFonts w:hint="eastAsia" w:ascii="仿宋" w:hAnsi="仿宋" w:eastAsia="仿宋" w:cs="仿宋"/>
          <w:color w:val="333333"/>
          <w:kern w:val="0"/>
          <w:sz w:val="31"/>
          <w:szCs w:val="31"/>
          <w:lang w:val="en-US" w:eastAsia="zh-CN" w:bidi="ar"/>
        </w:rPr>
        <w:t>73</w:t>
      </w:r>
      <w:r>
        <w:rPr>
          <w:rFonts w:hint="default" w:ascii="仿宋" w:hAnsi="仿宋" w:eastAsia="仿宋" w:cs="仿宋"/>
          <w:color w:val="333333"/>
          <w:kern w:val="0"/>
          <w:sz w:val="31"/>
          <w:szCs w:val="31"/>
          <w:lang w:val="en-US" w:eastAsia="zh-CN" w:bidi="ar"/>
        </w:rPr>
        <w:t>万元。</w:t>
      </w:r>
      <w:r>
        <w:rPr>
          <w:rFonts w:hint="eastAsia" w:ascii="仿宋" w:hAnsi="仿宋" w:eastAsia="仿宋" w:cs="仿宋"/>
          <w:color w:val="333333"/>
          <w:kern w:val="0"/>
          <w:sz w:val="31"/>
          <w:szCs w:val="31"/>
          <w:lang w:val="en-US" w:eastAsia="zh-CN" w:bidi="ar"/>
        </w:rPr>
        <w:t>本单位保有车辆共有0辆；单位价值 50 万元以上通用设备 0台（套）。单价100万元以上专用设备0套。较2020年初增加0台领导干部用车，其他资产没有变化。</w:t>
      </w:r>
    </w:p>
    <w:p>
      <w:pPr>
        <w:keepNext w:val="0"/>
        <w:keepLines w:val="0"/>
        <w:widowControl/>
        <w:suppressLineNumbers w:val="0"/>
        <w:ind w:firstLine="622" w:firstLineChars="200"/>
        <w:jc w:val="left"/>
        <w:rPr>
          <w:rFonts w:hint="eastAsia" w:ascii="仿宋" w:hAnsi="仿宋" w:eastAsia="仿宋" w:cs="仿宋"/>
          <w:b/>
          <w:bCs/>
          <w:color w:val="333333"/>
          <w:kern w:val="0"/>
          <w:sz w:val="31"/>
          <w:szCs w:val="31"/>
          <w:lang w:val="en-US" w:eastAsia="zh-CN" w:bidi="ar"/>
        </w:rPr>
      </w:pPr>
      <w:r>
        <w:rPr>
          <w:rFonts w:hint="eastAsia" w:ascii="仿宋" w:hAnsi="仿宋" w:eastAsia="仿宋" w:cs="仿宋"/>
          <w:b/>
          <w:bCs/>
          <w:color w:val="333333"/>
          <w:kern w:val="0"/>
          <w:sz w:val="31"/>
          <w:szCs w:val="31"/>
          <w:lang w:val="en-US" w:eastAsia="zh-CN" w:bidi="ar"/>
        </w:rPr>
        <w:t xml:space="preserve">（六）政府性基金预算支出情况说明 </w:t>
      </w:r>
    </w:p>
    <w:p>
      <w:pPr>
        <w:pStyle w:val="2"/>
        <w:ind w:left="0" w:leftChars="0" w:firstLine="620" w:firstLineChars="200"/>
        <w:rPr>
          <w:rFonts w:hint="eastAsia" w:ascii="仿宋" w:hAnsi="仿宋" w:eastAsia="仿宋" w:cs="仿宋"/>
          <w:color w:val="333333"/>
          <w:kern w:val="0"/>
          <w:sz w:val="31"/>
          <w:szCs w:val="31"/>
          <w:lang w:val="en-US" w:eastAsia="zh-CN" w:bidi="ar"/>
        </w:rPr>
      </w:pPr>
      <w:r>
        <w:rPr>
          <w:rFonts w:hint="default" w:ascii="仿宋" w:hAnsi="仿宋" w:eastAsia="仿宋" w:cs="仿宋"/>
          <w:color w:val="333333"/>
          <w:kern w:val="0"/>
          <w:sz w:val="31"/>
          <w:szCs w:val="31"/>
          <w:lang w:val="en-US" w:eastAsia="zh-CN" w:bidi="ar"/>
        </w:rPr>
        <w:t>市</w:t>
      </w:r>
      <w:r>
        <w:rPr>
          <w:rFonts w:hint="eastAsia" w:ascii="仿宋" w:hAnsi="仿宋" w:eastAsia="仿宋" w:cs="仿宋"/>
          <w:color w:val="333333"/>
          <w:kern w:val="0"/>
          <w:sz w:val="31"/>
          <w:szCs w:val="31"/>
          <w:lang w:val="en-US" w:eastAsia="zh-CN" w:bidi="ar"/>
        </w:rPr>
        <w:t>水政监察支队2022年政府性基金预算支出为0。</w:t>
      </w:r>
    </w:p>
    <w:p>
      <w:pPr>
        <w:keepNext w:val="0"/>
        <w:keepLines w:val="0"/>
        <w:widowControl/>
        <w:suppressLineNumbers w:val="0"/>
        <w:ind w:firstLine="643" w:firstLineChars="200"/>
        <w:jc w:val="left"/>
        <w:rPr>
          <w:rFonts w:hint="eastAsia" w:ascii="仿宋" w:hAnsi="仿宋" w:eastAsia="仿宋" w:cs="仿宋"/>
          <w:b/>
          <w:bCs/>
          <w:color w:val="333333"/>
          <w:kern w:val="0"/>
          <w:sz w:val="32"/>
          <w:szCs w:val="32"/>
          <w:lang w:val="en-US" w:eastAsia="zh-CN" w:bidi="ar"/>
        </w:rPr>
      </w:pPr>
      <w:r>
        <w:rPr>
          <w:rFonts w:hint="eastAsia" w:ascii="仿宋" w:hAnsi="仿宋" w:eastAsia="仿宋" w:cs="仿宋"/>
          <w:b/>
          <w:bCs/>
          <w:color w:val="333333"/>
          <w:kern w:val="0"/>
          <w:sz w:val="32"/>
          <w:szCs w:val="32"/>
          <w:lang w:val="en-US" w:eastAsia="zh-CN" w:bidi="ar"/>
        </w:rPr>
        <w:t xml:space="preserve">（七）2022 年部门预算绩效情况说明 </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1、部门预算绩效开展情况：2022年咸宁市水利和湖泊局部门项目支出42万元，各项目均按照预算绩效管理工作的要求，开展绩效目标编制及评审、绩效监控、绩效评价等工作，并关注项目目标与预算内容、工作计划的一致性，形成了科学合理、规范完整且可量化、可评价的指标体系。</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2、重点项目绩效目标说明。</w:t>
      </w:r>
    </w:p>
    <w:p>
      <w:pPr>
        <w:keepNext w:val="0"/>
        <w:keepLines w:val="0"/>
        <w:widowControl/>
        <w:suppressLineNumbers w:val="0"/>
        <w:ind w:firstLine="620" w:firstLineChars="200"/>
        <w:jc w:val="left"/>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河道采砂管理项目15万元：根据《长江河道采砂管理条例》（国务院令第320号）、《长江河道采砂管理条例实施办法》（水利部令第39号）、《湖北省河道采砂管理办法》（省政府令第333号）、《湖北省河道采砂管理目标责任书》等有关规定，负责辖区内河道采砂监督管理工作，依法严厉打击非法采砂，落实河道采砂规划和年度实施方案，深入调研指导，依法建章立制负责辖区内河道采砂监督管理工作，依法严厉打击非法采砂。完成湖北省河道采砂管理目标考核工作，切实加强日常监督管理，对本市河道实行全天候监管，全面掌握所管辖河道采砂管理的动态；始终保持对非法采砂活动的高压严要态势，及时查处偷采行为。</w:t>
      </w:r>
    </w:p>
    <w:p>
      <w:pPr>
        <w:keepNext w:val="0"/>
        <w:keepLines w:val="0"/>
        <w:widowControl/>
        <w:suppressLineNumbers w:val="0"/>
        <w:jc w:val="left"/>
        <w:rPr>
          <w:rFonts w:hint="eastAsia" w:ascii="楷体" w:hAnsi="楷体" w:eastAsia="楷体" w:cs="楷体"/>
          <w:b/>
          <w:bCs/>
          <w:color w:val="333333"/>
          <w:kern w:val="0"/>
          <w:sz w:val="31"/>
          <w:szCs w:val="31"/>
          <w:lang w:val="en-US" w:eastAsia="zh-CN" w:bidi="ar"/>
        </w:rPr>
      </w:pPr>
      <w:r>
        <w:rPr>
          <w:rFonts w:hint="eastAsia" w:ascii="楷体" w:hAnsi="楷体" w:eastAsia="楷体" w:cs="楷体"/>
          <w:b/>
          <w:bCs/>
          <w:color w:val="333333"/>
          <w:kern w:val="0"/>
          <w:sz w:val="31"/>
          <w:szCs w:val="31"/>
          <w:lang w:val="en-US" w:eastAsia="zh-CN" w:bidi="ar"/>
        </w:rPr>
        <w:t>第五部分 名词解释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（一）财政拨款收入：指市本级财政当年拨付的资金。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（二）上级专项补助收入：指除上述“财政拨款收入”等以外的上级财政部门交办任务相应安排的资金。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（三）上年结余（转）：指上年度结余转入经费。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（四）一般公共服务（类）行政运行（项）：指水利部门机关及所属管理的事业单位用于保障机构正常运行、开展日常工作的基本支出。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（五）一般公共服务（类）一般行政管理（项）：指水利部门行政单位及参照公务员管理事业单位用于科研、监督检查、项目评审等项目支出。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（六）一般公共服务（类）机关服务（项）：指水利部门机关用于办公楼日常维修维护等后勤保障服务的项目支出。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（七）基本支出：指为保障机构正常运转、完成日常工作任务而发生的人员支出和公用支出。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（八）项目支出：指在基本支出之外为完成特定行政任务和事业发展目标所发生的支出。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20" w:firstLineChars="200"/>
        <w:jc w:val="both"/>
        <w:textAlignment w:val="auto"/>
        <w:rPr>
          <w:rFonts w:hint="eastAsia" w:ascii="仿宋" w:hAnsi="仿宋" w:eastAsia="仿宋" w:cs="仿宋"/>
          <w:color w:val="333333"/>
          <w:kern w:val="0"/>
          <w:sz w:val="31"/>
          <w:szCs w:val="31"/>
          <w:lang w:val="en-US" w:eastAsia="zh-CN" w:bidi="ar"/>
        </w:rPr>
      </w:pPr>
      <w:r>
        <w:rPr>
          <w:rFonts w:hint="eastAsia" w:ascii="仿宋" w:hAnsi="仿宋" w:eastAsia="仿宋" w:cs="仿宋"/>
          <w:color w:val="333333"/>
          <w:kern w:val="0"/>
          <w:sz w:val="31"/>
          <w:szCs w:val="31"/>
          <w:lang w:val="en-US" w:eastAsia="zh-CN" w:bidi="ar"/>
        </w:rPr>
        <w:t>（九）“三公”经费：指用财政拨款安排的因公出国（境）费、公务用车运行维护、公务接待费。其中，因公出国(境)费,指单位工作人员公务出国(境)的住宿费、差旅费、伙食补助费、杂费、培训费等支出；公务用车购置及运行费,指单位公务用车燃料费、维修费、过路过桥费、保险费等支出；公务接待费,指单位按规定开支的各类公务接待支出。</w:t>
      </w:r>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83536"/>
    <w:multiLevelType w:val="singleLevel"/>
    <w:tmpl w:val="83F83536"/>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lZGYzNTM5ODIxOWE1NjEyYjFkODhhNDIxOTE0NjMifQ=="/>
  </w:docVars>
  <w:rsids>
    <w:rsidRoot w:val="00172A27"/>
    <w:rsid w:val="02DE28B7"/>
    <w:rsid w:val="03097CA8"/>
    <w:rsid w:val="037B3A2E"/>
    <w:rsid w:val="058E0EFD"/>
    <w:rsid w:val="0AF40301"/>
    <w:rsid w:val="0CE44E5A"/>
    <w:rsid w:val="0E2018FB"/>
    <w:rsid w:val="0ED13256"/>
    <w:rsid w:val="0F5E4206"/>
    <w:rsid w:val="10000946"/>
    <w:rsid w:val="101D7E10"/>
    <w:rsid w:val="1128649A"/>
    <w:rsid w:val="11893AEC"/>
    <w:rsid w:val="11EB2C67"/>
    <w:rsid w:val="12DC1936"/>
    <w:rsid w:val="136F214C"/>
    <w:rsid w:val="14981AA8"/>
    <w:rsid w:val="1792304C"/>
    <w:rsid w:val="180D7A9E"/>
    <w:rsid w:val="1CC263EF"/>
    <w:rsid w:val="1E017FB5"/>
    <w:rsid w:val="1E4C1579"/>
    <w:rsid w:val="205F05FF"/>
    <w:rsid w:val="20615FA8"/>
    <w:rsid w:val="20672C08"/>
    <w:rsid w:val="234A0342"/>
    <w:rsid w:val="2472619F"/>
    <w:rsid w:val="26FE6A7B"/>
    <w:rsid w:val="284A07B2"/>
    <w:rsid w:val="2A62237A"/>
    <w:rsid w:val="2A84742C"/>
    <w:rsid w:val="2CE824A0"/>
    <w:rsid w:val="2D833675"/>
    <w:rsid w:val="31110585"/>
    <w:rsid w:val="35046533"/>
    <w:rsid w:val="372A7179"/>
    <w:rsid w:val="38D0446C"/>
    <w:rsid w:val="397338DC"/>
    <w:rsid w:val="3A7E6904"/>
    <w:rsid w:val="3E5D2C83"/>
    <w:rsid w:val="41910FDB"/>
    <w:rsid w:val="42957EA2"/>
    <w:rsid w:val="43A251F2"/>
    <w:rsid w:val="44653E88"/>
    <w:rsid w:val="45BC735C"/>
    <w:rsid w:val="46760106"/>
    <w:rsid w:val="48774C9D"/>
    <w:rsid w:val="487B6EBB"/>
    <w:rsid w:val="49A95A85"/>
    <w:rsid w:val="4A79354A"/>
    <w:rsid w:val="4AA21A3B"/>
    <w:rsid w:val="4ABA50FD"/>
    <w:rsid w:val="4C7154F1"/>
    <w:rsid w:val="4DCE15CF"/>
    <w:rsid w:val="4FDC1C0B"/>
    <w:rsid w:val="534B7911"/>
    <w:rsid w:val="56D05BF9"/>
    <w:rsid w:val="585D50BE"/>
    <w:rsid w:val="5C0628E8"/>
    <w:rsid w:val="626C2D8C"/>
    <w:rsid w:val="6441760E"/>
    <w:rsid w:val="671A0C52"/>
    <w:rsid w:val="67A3424A"/>
    <w:rsid w:val="68300002"/>
    <w:rsid w:val="68B25D2D"/>
    <w:rsid w:val="694D661D"/>
    <w:rsid w:val="69FA7BB5"/>
    <w:rsid w:val="6AEF2582"/>
    <w:rsid w:val="6BF92231"/>
    <w:rsid w:val="6D515D66"/>
    <w:rsid w:val="70141305"/>
    <w:rsid w:val="7160537B"/>
    <w:rsid w:val="726562B8"/>
    <w:rsid w:val="727C377E"/>
    <w:rsid w:val="72A050D2"/>
    <w:rsid w:val="74884C11"/>
    <w:rsid w:val="76204530"/>
    <w:rsid w:val="77A16285"/>
    <w:rsid w:val="7D1D6E67"/>
    <w:rsid w:val="7E590B36"/>
    <w:rsid w:val="7ECB4D09"/>
    <w:rsid w:val="7EF9769B"/>
    <w:rsid w:val="7F1D3DF5"/>
    <w:rsid w:val="7F7A0F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ind w:left="200" w:leftChars="200"/>
    </w:pPr>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FollowedHyperlink"/>
    <w:basedOn w:val="7"/>
    <w:qFormat/>
    <w:uiPriority w:val="0"/>
    <w:rPr>
      <w:color w:val="555555"/>
      <w:u w:val="none"/>
    </w:rPr>
  </w:style>
  <w:style w:type="character" w:styleId="10">
    <w:name w:val="Emphasis"/>
    <w:basedOn w:val="7"/>
    <w:qFormat/>
    <w:uiPriority w:val="0"/>
  </w:style>
  <w:style w:type="character" w:styleId="11">
    <w:name w:val="Hyperlink"/>
    <w:basedOn w:val="7"/>
    <w:qFormat/>
    <w:uiPriority w:val="0"/>
    <w:rPr>
      <w:color w:val="555555"/>
      <w:u w:val="none"/>
    </w:rPr>
  </w:style>
  <w:style w:type="character" w:customStyle="1" w:styleId="12">
    <w:name w:val="hover31"/>
    <w:basedOn w:val="7"/>
    <w:qFormat/>
    <w:uiPriority w:val="0"/>
    <w:rPr>
      <w:color w:val="00B4F2"/>
    </w:rPr>
  </w:style>
  <w:style w:type="character" w:customStyle="1" w:styleId="13">
    <w:name w:val="layui-this"/>
    <w:basedOn w:val="7"/>
    <w:qFormat/>
    <w:uiPriority w:val="0"/>
    <w:rPr>
      <w:bdr w:val="single" w:color="EEEEEE" w:sz="6" w:space="0"/>
      <w:shd w:val="clear" w:color="auto" w:fill="FFFFFF"/>
    </w:rPr>
  </w:style>
  <w:style w:type="character" w:customStyle="1" w:styleId="14">
    <w:name w:val="first-child"/>
    <w:basedOn w:val="7"/>
    <w:qFormat/>
    <w:uiPriority w:val="0"/>
  </w:style>
  <w:style w:type="character" w:customStyle="1" w:styleId="15">
    <w:name w:val="after"/>
    <w:basedOn w:val="7"/>
    <w:qFormat/>
    <w:uiPriority w:val="0"/>
  </w:style>
  <w:style w:type="character" w:customStyle="1" w:styleId="16">
    <w:name w:val="hover33"/>
    <w:basedOn w:val="7"/>
    <w:qFormat/>
    <w:uiPriority w:val="0"/>
    <w:rPr>
      <w:color w:val="00B4F2"/>
    </w:rPr>
  </w:style>
  <w:style w:type="character" w:customStyle="1" w:styleId="17">
    <w:name w:val="hover32"/>
    <w:basedOn w:val="7"/>
    <w:qFormat/>
    <w:uiPriority w:val="0"/>
    <w:rPr>
      <w:color w:val="00B4F2"/>
    </w:rPr>
  </w:style>
  <w:style w:type="paragraph" w:customStyle="1" w:styleId="18">
    <w:name w:val="index 5"/>
    <w:basedOn w:val="1"/>
    <w:next w:val="1"/>
    <w:qFormat/>
    <w:uiPriority w:val="0"/>
    <w:pPr>
      <w:widowControl w:val="0"/>
      <w:jc w:val="both"/>
    </w:pPr>
    <w:rPr>
      <w:rFonts w:ascii="黑体" w:hAnsi="Times New Roman" w:eastAsia="黑体" w:cs="Arial"/>
      <w:kern w:val="2"/>
      <w:sz w:val="21"/>
      <w:szCs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4755</Words>
  <Characters>6062</Characters>
  <Lines>0</Lines>
  <Paragraphs>0</Paragraphs>
  <TotalTime>4</TotalTime>
  <ScaleCrop>false</ScaleCrop>
  <LinksUpToDate>false</LinksUpToDate>
  <CharactersWithSpaces>6629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2020-02-22T11:08:00Z</dcterms:created>
  <dc:creator>Administrator</dc:creator>
  <cp:lastModifiedBy>Administrator</cp:lastModifiedBy>
  <dcterms:modified xsi:type="dcterms:W3CDTF">2023-04-23T08:11:41Z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6AC39332E5B24E4C853E3A7AB986DE5C</vt:lpwstr>
  </property>
</Properties>
</file>