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2A" w:rsidRDefault="00CB172A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咸宁市水利和湖泊局“证照分离”改革全覆盖试点事项清单</w:t>
      </w:r>
    </w:p>
    <w:p w:rsidR="00CB172A" w:rsidRDefault="00CB172A" w:rsidP="008D3968">
      <w:pPr>
        <w:ind w:firstLineChars="200" w:firstLine="31680"/>
        <w:jc w:val="center"/>
        <w:rPr>
          <w:rFonts w:ascii="仿宋" w:eastAsia="仿宋" w:hAnsi="仿宋" w:cs="仿宋"/>
          <w:sz w:val="32"/>
          <w:szCs w:val="32"/>
        </w:rPr>
      </w:pPr>
    </w:p>
    <w:tbl>
      <w:tblPr>
        <w:tblW w:w="12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0"/>
        <w:gridCol w:w="1236"/>
        <w:gridCol w:w="875"/>
        <w:gridCol w:w="838"/>
        <w:gridCol w:w="1460"/>
        <w:gridCol w:w="804"/>
        <w:gridCol w:w="609"/>
        <w:gridCol w:w="712"/>
        <w:gridCol w:w="750"/>
        <w:gridCol w:w="752"/>
        <w:gridCol w:w="2538"/>
        <w:gridCol w:w="1748"/>
      </w:tblGrid>
      <w:tr w:rsidR="00CB172A" w:rsidRPr="00C1104E">
        <w:trPr>
          <w:trHeight w:val="315"/>
          <w:jc w:val="center"/>
        </w:trPr>
        <w:tc>
          <w:tcPr>
            <w:tcW w:w="450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1236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主管部门</w:t>
            </w:r>
          </w:p>
        </w:tc>
        <w:tc>
          <w:tcPr>
            <w:tcW w:w="875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改革事项</w:t>
            </w:r>
          </w:p>
        </w:tc>
        <w:tc>
          <w:tcPr>
            <w:tcW w:w="838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许可证件</w:t>
            </w:r>
          </w:p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名称</w:t>
            </w:r>
          </w:p>
        </w:tc>
        <w:tc>
          <w:tcPr>
            <w:tcW w:w="1460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设定依据</w:t>
            </w:r>
          </w:p>
        </w:tc>
        <w:tc>
          <w:tcPr>
            <w:tcW w:w="804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审批层级和部门</w:t>
            </w:r>
          </w:p>
        </w:tc>
        <w:tc>
          <w:tcPr>
            <w:tcW w:w="2823" w:type="dxa"/>
            <w:gridSpan w:val="4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改革方式</w:t>
            </w:r>
          </w:p>
        </w:tc>
        <w:tc>
          <w:tcPr>
            <w:tcW w:w="2538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具体改革举措</w:t>
            </w:r>
          </w:p>
        </w:tc>
        <w:tc>
          <w:tcPr>
            <w:tcW w:w="1748" w:type="dxa"/>
            <w:vMerge w:val="restart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加强事中事后监管措施</w:t>
            </w:r>
          </w:p>
        </w:tc>
      </w:tr>
      <w:tr w:rsidR="00CB172A" w:rsidRPr="00C1104E">
        <w:trPr>
          <w:trHeight w:val="886"/>
          <w:jc w:val="center"/>
        </w:trPr>
        <w:tc>
          <w:tcPr>
            <w:tcW w:w="450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直接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取消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审批</w:t>
            </w:r>
          </w:p>
        </w:tc>
        <w:tc>
          <w:tcPr>
            <w:tcW w:w="712" w:type="dxa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审批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改为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备案</w:t>
            </w:r>
          </w:p>
        </w:tc>
        <w:tc>
          <w:tcPr>
            <w:tcW w:w="750" w:type="dxa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实行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告知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承诺</w:t>
            </w:r>
          </w:p>
        </w:tc>
        <w:tc>
          <w:tcPr>
            <w:tcW w:w="752" w:type="dxa"/>
            <w:vAlign w:val="center"/>
          </w:tcPr>
          <w:p w:rsidR="00CB172A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优化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审批</w:t>
            </w:r>
            <w:r>
              <w:rPr>
                <w:rFonts w:ascii="黑体" w:eastAsia="黑体" w:hAnsi="黑体" w:cs="黑体"/>
                <w:bCs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0"/>
                <w:szCs w:val="20"/>
                <w:lang/>
              </w:rPr>
              <w:t>服务</w:t>
            </w:r>
          </w:p>
        </w:tc>
        <w:tc>
          <w:tcPr>
            <w:tcW w:w="2538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748" w:type="dxa"/>
            <w:vMerge/>
            <w:vAlign w:val="center"/>
          </w:tcPr>
          <w:p w:rsidR="00CB172A" w:rsidRPr="00C1104E" w:rsidRDefault="00CB172A">
            <w:pPr>
              <w:spacing w:line="260" w:lineRule="exact"/>
              <w:jc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</w:p>
        </w:tc>
      </w:tr>
      <w:tr w:rsidR="00CB172A" w:rsidRPr="00C1104E">
        <w:trPr>
          <w:trHeight w:val="4996"/>
          <w:jc w:val="center"/>
        </w:trPr>
        <w:tc>
          <w:tcPr>
            <w:tcW w:w="450" w:type="dxa"/>
            <w:vAlign w:val="center"/>
          </w:tcPr>
          <w:p w:rsidR="00CB172A" w:rsidRPr="00C1104E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宋体" w:cs="宋体"/>
                <w:sz w:val="20"/>
                <w:szCs w:val="20"/>
              </w:rPr>
            </w:pPr>
            <w:r w:rsidRPr="00C1104E">
              <w:rPr>
                <w:rFonts w:ascii="宋体" w:hAnsi="宋体" w:cs="宋体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236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咸宁市水利和湖泊局</w:t>
            </w:r>
          </w:p>
        </w:tc>
        <w:tc>
          <w:tcPr>
            <w:tcW w:w="875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河道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采砂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许可</w:t>
            </w:r>
          </w:p>
        </w:tc>
        <w:tc>
          <w:tcPr>
            <w:tcW w:w="838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湖北省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河道采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砂许可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证</w:t>
            </w:r>
          </w:p>
        </w:tc>
        <w:tc>
          <w:tcPr>
            <w:tcW w:w="1460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《中华人民共和国水法》《中华人民共和国河道管理例》《湖北省河道采砂管理例》</w:t>
            </w:r>
          </w:p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804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县级水利部门</w:t>
            </w:r>
          </w:p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609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712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750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752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√（全市范围内）</w:t>
            </w:r>
          </w:p>
        </w:tc>
        <w:tc>
          <w:tcPr>
            <w:tcW w:w="2538" w:type="dxa"/>
            <w:vAlign w:val="center"/>
          </w:tcPr>
          <w:p w:rsidR="00CB172A" w:rsidRDefault="00CB172A" w:rsidP="00CB172A">
            <w:pPr>
              <w:widowControl/>
              <w:spacing w:line="28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、加强河道采砂规划编制审批，实行年度采量控制，及时向社会公布可采区、可采期、可采量。</w:t>
            </w:r>
          </w:p>
          <w:p w:rsidR="00CB172A" w:rsidRDefault="00CB172A" w:rsidP="00CB172A">
            <w:pPr>
              <w:widowControl/>
              <w:spacing w:line="28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、对公益性采砂减少审批环节，对符合相关工程建设项目程序的，不再同时开展河道采砂行政许可。</w:t>
            </w:r>
          </w:p>
          <w:p w:rsidR="00CB172A" w:rsidRDefault="00CB172A" w:rsidP="00CB172A">
            <w:pPr>
              <w:widowControl/>
              <w:spacing w:line="28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、采取灵活的许可实施方式，各地可结合实际，采取招标、统一经营等方式实施许可。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</w:tc>
        <w:tc>
          <w:tcPr>
            <w:tcW w:w="1748" w:type="dxa"/>
            <w:vAlign w:val="center"/>
          </w:tcPr>
          <w:p w:rsidR="00CB172A" w:rsidRPr="00C1104E" w:rsidRDefault="00CB172A" w:rsidP="00CB172A">
            <w:pPr>
              <w:widowControl/>
              <w:spacing w:line="280" w:lineRule="exact"/>
              <w:ind w:firstLineChars="200" w:firstLine="31680"/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、执行上级部门关于河道采砂管理工作的指导意见，落实现场监管要求。</w:t>
            </w:r>
          </w:p>
          <w:p w:rsidR="00CB172A" w:rsidRDefault="00CB172A" w:rsidP="00CB172A">
            <w:pPr>
              <w:widowControl/>
              <w:spacing w:line="28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、开展“双随机、一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公开”监管和“四不两直”暗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访，加强对采砂情况的监督检查。</w:t>
            </w:r>
          </w:p>
          <w:p w:rsidR="00CB172A" w:rsidRDefault="00CB172A" w:rsidP="00CB172A">
            <w:pPr>
              <w:widowControl/>
              <w:spacing w:line="28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、加强信用监管，完善河道采砂业主黑名单制度，采取限制惩戒措施。</w:t>
            </w:r>
          </w:p>
        </w:tc>
      </w:tr>
      <w:tr w:rsidR="00CB172A" w:rsidRPr="00C1104E">
        <w:trPr>
          <w:trHeight w:val="7668"/>
          <w:jc w:val="center"/>
        </w:trPr>
        <w:tc>
          <w:tcPr>
            <w:tcW w:w="450" w:type="dxa"/>
            <w:vAlign w:val="center"/>
          </w:tcPr>
          <w:p w:rsidR="00CB172A" w:rsidRPr="00C1104E" w:rsidRDefault="00CB172A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 w:rsidRPr="00C1104E">
              <w:rPr>
                <w:rFonts w:ascii="宋体" w:hAnsi="宋体" w:cs="宋体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236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咸宁市水利和湖泊局</w:t>
            </w:r>
          </w:p>
        </w:tc>
        <w:tc>
          <w:tcPr>
            <w:tcW w:w="875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取水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许可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838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取水许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可证</w:t>
            </w:r>
          </w:p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1460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《中华人民共和国水法》《取水许可和水资源费征收管理条例》《湖北省取水许可和水资源费征收管理办法》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804" w:type="dxa"/>
            <w:vAlign w:val="center"/>
          </w:tcPr>
          <w:p w:rsidR="00CB172A" w:rsidRDefault="00CB172A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县级以上水利部门</w:t>
            </w:r>
          </w:p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609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712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750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</w:p>
        </w:tc>
        <w:tc>
          <w:tcPr>
            <w:tcW w:w="752" w:type="dxa"/>
            <w:vAlign w:val="center"/>
          </w:tcPr>
          <w:p w:rsidR="00CB172A" w:rsidRDefault="00CB172A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√（全市范围内）</w:t>
            </w:r>
          </w:p>
        </w:tc>
        <w:tc>
          <w:tcPr>
            <w:tcW w:w="2538" w:type="dxa"/>
            <w:vAlign w:val="center"/>
          </w:tcPr>
          <w:p w:rsidR="00CB172A" w:rsidRDefault="00CB172A" w:rsidP="00CB172A">
            <w:pPr>
              <w:widowControl/>
              <w:spacing w:line="26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、推进重点区域（包括工业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园区、经济技术开发区、产业功能区等区域）规划水资源论证，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明确区域用水总量管控目标、存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量及准入条件。制订规划水资源论证技术大纲，定期公布区域存量情况和申请企业排序情况。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  <w:p w:rsidR="00CB172A" w:rsidRDefault="00CB172A" w:rsidP="00CB172A">
            <w:pPr>
              <w:widowControl/>
              <w:spacing w:line="26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、按国务院和水利部统一部署，推广取水许可电子许可证，实现申请、审批全程网上办理。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  <w:p w:rsidR="00CB172A" w:rsidRDefault="00CB172A" w:rsidP="00CB172A">
            <w:pPr>
              <w:widowControl/>
              <w:spacing w:line="26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、简化优化建设项目水资源论证管理要求，实行报告表、报告书分类管理，对取水量较小、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用水工艺简单且取退水影响小的项目推行报告表管理。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  <w:p w:rsidR="00CB172A" w:rsidRDefault="00CB172A" w:rsidP="00CB172A">
            <w:pPr>
              <w:widowControl/>
              <w:spacing w:line="26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4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、简化技术审查环节，细化明确报告书技术审查标准，报告书技术审查时限由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30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个工作日减至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20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个工作日。对报告表实行备案承诺制，不再组织技术审查，由水利部门直接审核。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</w:tc>
        <w:tc>
          <w:tcPr>
            <w:tcW w:w="1748" w:type="dxa"/>
            <w:vAlign w:val="center"/>
          </w:tcPr>
          <w:p w:rsidR="00CB172A" w:rsidRDefault="00CB172A" w:rsidP="00CB172A">
            <w:pPr>
              <w:widowControl/>
              <w:spacing w:line="28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TimesNewRomanPSMT" w:eastAsia="Times New Roman" w:hAnsi="TimesNewRomanPSMT" w:cs="TimesNewRomanPSMT"/>
                <w:color w:val="000000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、开展“双随机、一公开”监管，发现取水单位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和个人取用水、有关技术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  <w:p w:rsidR="00CB172A" w:rsidRDefault="00CB172A">
            <w:pPr>
              <w:widowControl/>
              <w:spacing w:line="280" w:lineRule="exact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单位编制报告中存在违法行为的，要依法查处并向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社会公开。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 xml:space="preserve"> </w:t>
            </w:r>
          </w:p>
          <w:p w:rsidR="00CB172A" w:rsidRDefault="00CB172A" w:rsidP="00CB172A">
            <w:pPr>
              <w:widowControl/>
              <w:spacing w:line="280" w:lineRule="exact"/>
              <w:ind w:firstLineChars="200" w:firstLine="31680"/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lang/>
              </w:rPr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/>
              </w:rPr>
              <w:t>、加强信用监管，将取水单位和个人的相关违法信息纳入社会征信体系，对失信主体开展联合惩戒。</w:t>
            </w:r>
          </w:p>
          <w:p w:rsidR="00CB172A" w:rsidRDefault="00CB172A">
            <w:pPr>
              <w:widowControl/>
              <w:spacing w:line="240" w:lineRule="exact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/>
              </w:rPr>
            </w:pPr>
          </w:p>
        </w:tc>
      </w:tr>
    </w:tbl>
    <w:p w:rsidR="00CB172A" w:rsidRDefault="00CB172A"/>
    <w:sectPr w:rsidR="00CB172A" w:rsidSect="00BB2B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B71"/>
    <w:rsid w:val="00846E8D"/>
    <w:rsid w:val="008D3968"/>
    <w:rsid w:val="00BB2B71"/>
    <w:rsid w:val="00C1104E"/>
    <w:rsid w:val="00CB172A"/>
    <w:rsid w:val="013F4C5C"/>
    <w:rsid w:val="0BA257ED"/>
    <w:rsid w:val="18A57BAF"/>
    <w:rsid w:val="218568D7"/>
    <w:rsid w:val="347D6D60"/>
    <w:rsid w:val="44D91303"/>
    <w:rsid w:val="5F8004F9"/>
    <w:rsid w:val="72190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HTML Code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B71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2B71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2B71"/>
    <w:pPr>
      <w:spacing w:beforeAutospacing="1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6B2"/>
    <w:rPr>
      <w:rFonts w:ascii="Calibri" w:hAnsi="Calibri"/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6B2"/>
    <w:rPr>
      <w:rFonts w:ascii="Calibri" w:hAnsi="Calibri"/>
      <w:b/>
      <w:bCs/>
      <w:sz w:val="32"/>
      <w:szCs w:val="32"/>
    </w:rPr>
  </w:style>
  <w:style w:type="paragraph" w:styleId="NormalWeb">
    <w:name w:val="Normal (Web)"/>
    <w:basedOn w:val="Normal"/>
    <w:uiPriority w:val="99"/>
    <w:rsid w:val="00BB2B71"/>
    <w:pPr>
      <w:jc w:val="left"/>
    </w:pPr>
    <w:rPr>
      <w:kern w:val="0"/>
      <w:sz w:val="24"/>
    </w:rPr>
  </w:style>
  <w:style w:type="character" w:styleId="FollowedHyperlink">
    <w:name w:val="FollowedHyperlink"/>
    <w:basedOn w:val="DefaultParagraphFont"/>
    <w:uiPriority w:val="99"/>
    <w:rsid w:val="00BB2B71"/>
    <w:rPr>
      <w:rFonts w:cs="Times New Roman"/>
      <w:color w:val="333333"/>
      <w:u w:val="none"/>
    </w:rPr>
  </w:style>
  <w:style w:type="character" w:styleId="Hyperlink">
    <w:name w:val="Hyperlink"/>
    <w:basedOn w:val="DefaultParagraphFont"/>
    <w:uiPriority w:val="99"/>
    <w:rsid w:val="00BB2B71"/>
    <w:rPr>
      <w:rFonts w:cs="Times New Roman"/>
      <w:color w:val="333333"/>
      <w:u w:val="none"/>
    </w:rPr>
  </w:style>
  <w:style w:type="character" w:styleId="HTMLCode">
    <w:name w:val="HTML Code"/>
    <w:basedOn w:val="DefaultParagraphFont"/>
    <w:uiPriority w:val="99"/>
    <w:rsid w:val="00BB2B71"/>
    <w:rPr>
      <w:rFonts w:ascii="Courier New" w:hAnsi="Courier New" w:cs="Times New Roman"/>
      <w:sz w:val="20"/>
    </w:rPr>
  </w:style>
  <w:style w:type="character" w:customStyle="1" w:styleId="calendar-headprev-range-btn">
    <w:name w:val="calendar-head__prev-range-btn"/>
    <w:basedOn w:val="DefaultParagraphFont"/>
    <w:uiPriority w:val="99"/>
    <w:rsid w:val="00BB2B71"/>
    <w:rPr>
      <w:rFonts w:cs="Times New Roman"/>
      <w:vanish/>
    </w:rPr>
  </w:style>
  <w:style w:type="character" w:customStyle="1" w:styleId="calendar-headnext-month-btn">
    <w:name w:val="calendar-head__next-month-btn"/>
    <w:basedOn w:val="DefaultParagraphFont"/>
    <w:uiPriority w:val="99"/>
    <w:rsid w:val="00BB2B71"/>
    <w:rPr>
      <w:rFonts w:cs="Times New Roman"/>
    </w:rPr>
  </w:style>
  <w:style w:type="character" w:customStyle="1" w:styleId="active4">
    <w:name w:val="active4"/>
    <w:basedOn w:val="DefaultParagraphFont"/>
    <w:uiPriority w:val="99"/>
    <w:rsid w:val="00BB2B71"/>
    <w:rPr>
      <w:rFonts w:cs="Times New Roman"/>
      <w:color w:val="333333"/>
    </w:rPr>
  </w:style>
  <w:style w:type="character" w:customStyle="1" w:styleId="hover2">
    <w:name w:val="hover2"/>
    <w:basedOn w:val="DefaultParagraphFont"/>
    <w:uiPriority w:val="99"/>
    <w:rsid w:val="00BB2B71"/>
    <w:rPr>
      <w:rFonts w:cs="Times New Roman"/>
      <w:color w:val="2F6EA2"/>
    </w:rPr>
  </w:style>
  <w:style w:type="character" w:customStyle="1" w:styleId="calendar-headnext-range-btn">
    <w:name w:val="calendar-head__next-range-btn"/>
    <w:basedOn w:val="DefaultParagraphFont"/>
    <w:uiPriority w:val="99"/>
    <w:rsid w:val="00BB2B71"/>
    <w:rPr>
      <w:rFonts w:cs="Times New Roman"/>
      <w:vanish/>
    </w:rPr>
  </w:style>
  <w:style w:type="character" w:customStyle="1" w:styleId="calendar-headnext-year-btn">
    <w:name w:val="calendar-head__next-year-btn"/>
    <w:basedOn w:val="DefaultParagraphFont"/>
    <w:uiPriority w:val="99"/>
    <w:rsid w:val="00BB2B71"/>
    <w:rPr>
      <w:rFonts w:cs="Times New Roman"/>
    </w:rPr>
  </w:style>
  <w:style w:type="character" w:customStyle="1" w:styleId="calendar-headtext-display">
    <w:name w:val="calendar-head__text-display"/>
    <w:basedOn w:val="DefaultParagraphFont"/>
    <w:uiPriority w:val="99"/>
    <w:rsid w:val="00BB2B71"/>
    <w:rPr>
      <w:rFonts w:cs="Times New Roman"/>
      <w:vanish/>
    </w:rPr>
  </w:style>
  <w:style w:type="character" w:customStyle="1" w:styleId="calendar-headyear-range">
    <w:name w:val="calendar-head__year-range"/>
    <w:basedOn w:val="DefaultParagraphFont"/>
    <w:uiPriority w:val="99"/>
    <w:rsid w:val="00BB2B71"/>
    <w:rPr>
      <w:rFonts w:cs="Times New Roman"/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145</Words>
  <Characters>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咸宁市水利和湖泊局“证照分离”改革全覆盖试点事项清单</dc:title>
  <dc:subject/>
  <dc:creator>Administrator</dc:creator>
  <cp:keywords/>
  <dc:description/>
  <cp:lastModifiedBy>咸宁在线网络有限公司</cp:lastModifiedBy>
  <cp:revision>2</cp:revision>
  <cp:lastPrinted>2020-11-25T09:28:00Z</cp:lastPrinted>
  <dcterms:created xsi:type="dcterms:W3CDTF">2020-12-07T08:08:00Z</dcterms:created>
  <dcterms:modified xsi:type="dcterms:W3CDTF">2020-12-07T08:08:00Z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